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pPr>
      <w:r>
        <w:rPr>
          <w:rFonts w:ascii="Calibri" w:cs="Calibri" w:eastAsia="Calibri" w:hAnsi="Calibri"/>
          <w:b/>
          <w:bCs/>
          <w:color w:val="B8860B"/>
          <w:spacing w:val="20"/>
          <w:sz w:val="18"/>
          <w:szCs w:val="18"/>
        </w:rPr>
        <w:t xml:space="preserve">OPINION / OP-ED</w:t>
      </w:r>
    </w:p>
    <w:p>
      <w:pPr>
        <w:spacing w:after="120"/>
      </w:pPr>
      <w:r>
        <w:rPr>
          <w:rFonts w:ascii="Calibri" w:cs="Calibri" w:eastAsia="Calibri" w:hAnsi="Calibri"/>
          <w:b/>
          <w:bCs/>
          <w:color w:val="0B1F3A"/>
          <w:sz w:val="40"/>
          <w:szCs w:val="40"/>
        </w:rPr>
        <w:t xml:space="preserve">Tariff Walls, Broken Promises: The Hidden Tax Bill America's Own Consumers Are Paying</w:t>
      </w:r>
    </w:p>
    <w:p>
      <w:pPr>
        <w:spacing w:after="260"/>
      </w:pPr>
      <w:r>
        <w:rPr>
          <w:rFonts w:ascii="Georgia" w:cs="Georgia" w:eastAsia="Georgia" w:hAnsi="Georgia"/>
          <w:i/>
          <w:iCs/>
          <w:color w:val="555555"/>
          <w:sz w:val="24"/>
          <w:szCs w:val="24"/>
        </w:rPr>
        <w:t xml:space="preserve">Washington built its trade war to contain China. A year and a half on, the levies have not slowed Chinese manufacturing — but they have quietly become one of the largest tax increases on American households in a generation.</w:t>
      </w:r>
    </w:p>
    <w:p>
      <w:pPr>
        <w:spacing w:after="300"/>
      </w:pPr>
      <w:r>
        <w:rPr>
          <w:rFonts w:ascii="Calibri" w:cs="Calibri" w:eastAsia="Calibri" w:hAnsi="Calibri"/>
          <w:b/>
          <w:bCs/>
          <w:color w:val="0B1F3A"/>
          <w:sz w:val="20"/>
          <w:szCs w:val="20"/>
        </w:rPr>
        <w:t xml:space="preserve">By Richard Adeolu Adejumobi</w:t>
      </w:r>
      <w:r>
        <w:rPr>
          <w:rFonts w:ascii="Calibri" w:cs="Calibri" w:eastAsia="Calibri" w:hAnsi="Calibri"/>
          <w:color w:val="555555"/>
          <w:sz w:val="18"/>
          <w:szCs w:val="18"/>
        </w:rPr>
        <w:t xml:space="preserve">   |   TMN Economy &amp; Technology Policy Desk   |   August 20, 2026</w:t>
      </w:r>
    </w:p>
    <w:p>
      <w:pPr>
        <w:spacing w:after="200" w:line="300"/>
        <w:jc w:val="both"/>
      </w:pPr>
      <w:r>
        <w:rPr>
          <w:rFonts w:ascii="Georgia" w:cs="Georgia" w:eastAsia="Georgia" w:hAnsi="Georgia"/>
          <w:color w:val="222222"/>
          <w:sz w:val="23"/>
          <w:szCs w:val="23"/>
        </w:rPr>
        <w:t xml:space="preserve">For close to two years, the architecture of President Donald Trump's second-term economic agenda has rested on a single wager: that punishing tariffs, imposed unilaterally and often without warning, would force China to retreat from global markets, revive American manufacturing, and make the United States “rich again.” The record so far tells a very different story. China's export machine has not been broken; if anything, it has adapted and, in several strategic sectors, advanced. What has moved, decisively, is the price ordinary Americans pay at the checkout counter, the pump, and the appliance showroom. The tariff wall, it turns out, has a door — and American households are the ones paying the toll to walk through it.</w:t>
      </w:r>
    </w:p>
    <w:p>
      <w:pPr>
        <w:pBdr>
          <w:bottom w:val="single" w:color="B8860B" w:sz="6" w:space="4"/>
        </w:pBdr>
        <w:spacing w:after="140" w:before="320"/>
      </w:pPr>
      <w:r>
        <w:rPr>
          <w:rFonts w:ascii="Calibri" w:cs="Calibri" w:eastAsia="Calibri" w:hAnsi="Calibri"/>
          <w:b/>
          <w:bCs/>
          <w:color w:val="0B1F3A"/>
          <w:spacing w:val="12"/>
          <w:sz w:val="22"/>
          <w:szCs w:val="22"/>
        </w:rPr>
        <w:t xml:space="preserve">A POLICY REBUILT THREE TIMES OVER</w:t>
      </w:r>
    </w:p>
    <w:p>
      <w:pPr>
        <w:spacing w:after="200" w:line="300"/>
        <w:jc w:val="both"/>
      </w:pPr>
      <w:r>
        <w:rPr>
          <w:rFonts w:ascii="Georgia" w:cs="Georgia" w:eastAsia="Georgia" w:hAnsi="Georgia"/>
          <w:color w:val="222222"/>
          <w:sz w:val="23"/>
          <w:szCs w:val="23"/>
        </w:rPr>
        <w:t xml:space="preserve">The legal history of Trump's tariff regime reads less like settled trade policy than a running courtroom drama. In February 2026, the U.S. Supreme Court ruled 6-3 in Learning Resources, Inc. v. Trump that the International Emergency Economic Powers Act does not authorise a president to impose tariffs at all — a rebuke that invalidated the sweeping “reciprocal” tariffs and the fentanyl-linked duties on Canada, Mexico, and China that had defined trade policy since early 2025. Chief Justice John Roberts, writing for the majority, held that Congress alone controls the power to tax imports; the administration's own tariff architecture, built almost entirely on a single reinterpreted clause, could not stand.</w:t>
      </w:r>
    </w:p>
    <w:p>
      <w:pPr>
        <w:spacing w:after="200" w:line="300"/>
        <w:jc w:val="both"/>
      </w:pPr>
      <w:r>
        <w:rPr>
          <w:rFonts w:ascii="Georgia" w:cs="Georgia" w:eastAsia="Georgia" w:hAnsi="Georgia"/>
          <w:color w:val="222222"/>
          <w:sz w:val="23"/>
          <w:szCs w:val="23"/>
        </w:rPr>
        <w:t xml:space="preserve">The White House did not retreat. Within hours of the ruling, Trump invoked Section 122 of the Trade Act of 1974 — a provision never previously used by any president — to impose a flat global tariff, again set at roughly 10 percent, exploiting a statute that caps the rate at 15 percent but allows only 150 days of use. When that window expired on 24 July 2026, the administration executed a third pivot, deploying Section 301 of the same Act to impose fresh duties of 10 to 12.5 percent on sixty trading partners — covering roughly 99 percent of all U.S. imports — justified this time on the grounds that those countries had failed to adequately police forced-labour supply chains. Section 232 duties on steel, aluminium, copper, semiconductors, and other strategic goods remain layered on top, alongside a fresh round of 50 percent tariffs on selected Canadian goods and a 100 percent tariff on branded pharmaceuticals from named manufacturers. The through-line is unmistakable: every time the courts or the calendar force a retreat, Washington finds another statute to rebuild the wall.</w:t>
      </w:r>
    </w:p>
    <w:p>
      <w:pPr>
        <w:pBdr>
          <w:bottom w:val="single" w:color="B8860B" w:sz="6" w:space="4"/>
        </w:pBdr>
        <w:spacing w:after="140" w:before="320"/>
      </w:pPr>
      <w:r>
        <w:rPr>
          <w:rFonts w:ascii="Calibri" w:cs="Calibri" w:eastAsia="Calibri" w:hAnsi="Calibri"/>
          <w:b/>
          <w:bCs/>
          <w:color w:val="0B1F3A"/>
          <w:spacing w:val="12"/>
          <w:sz w:val="22"/>
          <w:szCs w:val="22"/>
        </w:rPr>
        <w:t xml:space="preserve">THE RECEIPTS AMERICAN FAMILIES ARE HOLDING</w:t>
      </w:r>
    </w:p>
    <w:p>
      <w:pPr>
        <w:spacing w:after="200" w:line="300"/>
        <w:jc w:val="both"/>
      </w:pPr>
      <w:r>
        <w:rPr>
          <w:rFonts w:ascii="Georgia" w:cs="Georgia" w:eastAsia="Georgia" w:hAnsi="Georgia"/>
          <w:color w:val="222222"/>
          <w:sz w:val="23"/>
          <w:szCs w:val="23"/>
        </w:rPr>
        <w:t xml:space="preserve">Independent of one's view on trade strategy, the domestic cost of this approach is no longer speculative — it is being measured in real time by economists across the ideological spectrum. The Tax Foundation estimates that tariffs cost the average American household roughly $1,000 in 2025 and will add a further $900 in 2026, even after the Supreme Court's ruling trimmed the total. The Joint Economic Committee's Democratic minority staff put 2025 consumer costs even higher, at over $231 billion nationally, or close to $1,745 per family. The Yale Budget Lab has separately calculated that the tariff regime lifted consumer prices by roughly 1.3 percent in the short run — a loss of close to $1,750 per household annually in 2025 dollars — with the effect concentrated in durable goods such as electronics, appliances, and vehicles, alongside groceries tied to imported inputs.</w:t>
      </w:r>
    </w:p>
    <w:p>
      <w:pPr>
        <w:spacing w:after="200" w:line="300"/>
        <w:jc w:val="both"/>
      </w:pPr>
      <w:r>
        <w:rPr>
          <w:rFonts w:ascii="Georgia" w:cs="Georgia" w:eastAsia="Georgia" w:hAnsi="Georgia"/>
          <w:color w:val="222222"/>
          <w:sz w:val="23"/>
          <w:szCs w:val="23"/>
        </w:rPr>
        <w:t xml:space="preserve">Analysts at Goldman Sachs found that businesses initially absorbed the bulk of tariff costs — as much as 55 percent — by drawing down pre-tariff inventory and compressing margins, but warned that consumers' share of the burden could climb toward 70 percent as those buffers run out and contracts are renegotiated at the new, higher rates. That prediction is already visible in the data: the Federal Reserve Bank framework cited by multiple outlets found tariffs explained roughly a tenth of the year's headline inflation by mid-2026, with small and mid-sized businesses reporting their effective tariff costs more than doubling between January and July.</w:t>
      </w:r>
    </w:p>
    <w:p>
      <w:pPr>
        <w:spacing w:after="200" w:line="300"/>
        <w:jc w:val="both"/>
      </w:pPr>
      <w:r>
        <w:rPr>
          <w:rFonts w:ascii="Georgia" w:cs="Georgia" w:eastAsia="Georgia" w:hAnsi="Georgia"/>
          <w:color w:val="222222"/>
          <w:sz w:val="23"/>
          <w:szCs w:val="23"/>
        </w:rPr>
        <w:t xml:space="preserve">Public opinion has caught up with the arithmetic. A Harris/Guardian poll in March 2026 found that clear majorities across party lines — 64 percent of Republicans, 77 percent of Democrats, and 67 percent of independents — believe tariffs have raised the prices of goods they buy, and a January 2026 Council on Foreign Relations/Morning Consult survey found more than 65 percent of respondents saying tariffs had made food, health care, housing, or transport less affordable. With affordability now polling as the single most important issue for voters heading into November's midterms, Republican strategists are openly warning that the tariff regime has become a political liability of the administration's own making.</w:t>
      </w:r>
    </w:p>
    <w:p>
      <w:pPr>
        <w:pBdr>
          <w:left w:val="single" w:color="B8860B" w:sz="18" w:space="12"/>
        </w:pBdr>
        <w:spacing w:after="200" w:before="200"/>
        <w:ind w:left="500" w:right="500"/>
      </w:pPr>
      <w:r>
        <w:rPr>
          <w:rFonts w:ascii="Georgia" w:cs="Georgia" w:eastAsia="Georgia" w:hAnsi="Georgia"/>
          <w:i/>
          <w:iCs/>
          <w:color w:val="0B1F3A"/>
          <w:sz w:val="24"/>
          <w:szCs w:val="24"/>
        </w:rPr>
        <w:t xml:space="preserve">The tariffs were sold as a lever against Beijing. In practice, they have functioned as a domestic sales tax — regressive by design, since lower-income households spend a larger share of their budgets on the tariffed goods hit hardest: apparel, footwear, appliances, and food.</w:t>
      </w:r>
    </w:p>
    <w:p>
      <w:pPr>
        <w:pBdr>
          <w:bottom w:val="single" w:color="B8860B" w:sz="6" w:space="4"/>
        </w:pBdr>
        <w:spacing w:after="140" w:before="320"/>
      </w:pPr>
      <w:r>
        <w:rPr>
          <w:rFonts w:ascii="Calibri" w:cs="Calibri" w:eastAsia="Calibri" w:hAnsi="Calibri"/>
          <w:b/>
          <w:bCs/>
          <w:color w:val="0B1F3A"/>
          <w:spacing w:val="12"/>
          <w:sz w:val="22"/>
          <w:szCs w:val="22"/>
        </w:rPr>
        <w:t xml:space="preserve">MEANWHILE, BEIJING ADAPTS — AND ADVANCES</w:t>
      </w:r>
    </w:p>
    <w:p>
      <w:pPr>
        <w:spacing w:after="200" w:line="300"/>
        <w:jc w:val="both"/>
      </w:pPr>
      <w:r>
        <w:rPr>
          <w:rFonts w:ascii="Georgia" w:cs="Georgia" w:eastAsia="Georgia" w:hAnsi="Georgia"/>
          <w:color w:val="222222"/>
          <w:sz w:val="23"/>
          <w:szCs w:val="23"/>
        </w:rPr>
        <w:t xml:space="preserve">The strategic objective behind all this legal manoeuvring was never simply revenue; it was to check China's manufacturing dominance. On that count, the evidence is sobering for Washington. Even after Section 301 duties of up to 100 percent on electric vehicles, 50 percent on semiconductors and solar modules, and 25 percent on batteries, steel, and aluminium, a Nikkei Asia survey covering 63 major product and service categories found Chinese firms expanding their global market share in more than 40 percent of them, with China now ranked first worldwide in at least 16 strategic sectors — widening its lead over Japan and South Korea even as it narrows the gap with the United States.</w:t>
      </w:r>
    </w:p>
    <w:p>
      <w:pPr>
        <w:spacing w:after="200" w:line="300"/>
        <w:jc w:val="both"/>
      </w:pPr>
      <w:r>
        <w:rPr>
          <w:rFonts w:ascii="Georgia" w:cs="Georgia" w:eastAsia="Georgia" w:hAnsi="Georgia"/>
          <w:color w:val="222222"/>
          <w:sz w:val="23"/>
          <w:szCs w:val="23"/>
        </w:rPr>
        <w:t xml:space="preserve">Rather than retreating from tariffed Western markets, Chinese exporters have rerouted volumes toward Southeast Asia, Africa, Latin America, and the Middle East — a displacement effect that Oxford Economics has documented in detail. Underpinning this resilience is a domestic economy where household consumption accounts for under 40 percent of GDP and a prolonged property-sector downturn has pushed families toward precautionary saving rather than spending, leaving Beijing's industrial planners to redirect state-subsidised production capacity outward. The result is visible in the “new three” industries: China now produces close to three-quarters of the world's electric vehicles and roughly 40 percent of EV exports; its two largest battery makers, CATL and BYD, together control more than half the global battery market; and Chinese firms account for over 90 percent of global solar module production. Tariffs designed to blunt this expansion have, so far, mostly redirected it.</w:t>
      </w:r>
    </w:p>
    <w:p>
      <w:pPr>
        <w:pBdr>
          <w:bottom w:val="single" w:color="B8860B" w:sz="6" w:space="4"/>
        </w:pBdr>
        <w:spacing w:after="140" w:before="320"/>
      </w:pPr>
      <w:r>
        <w:rPr>
          <w:rFonts w:ascii="Calibri" w:cs="Calibri" w:eastAsia="Calibri" w:hAnsi="Calibri"/>
          <w:b/>
          <w:bCs/>
          <w:color w:val="0B1F3A"/>
          <w:spacing w:val="12"/>
          <w:sz w:val="22"/>
          <w:szCs w:val="22"/>
        </w:rPr>
        <w:t xml:space="preserve">WHAT THIS MEANS BEYOND AMERICA'S BORDERS</w:t>
      </w:r>
    </w:p>
    <w:p>
      <w:pPr>
        <w:spacing w:after="200" w:line="300"/>
        <w:jc w:val="both"/>
      </w:pPr>
      <w:r>
        <w:rPr>
          <w:rFonts w:ascii="Georgia" w:cs="Georgia" w:eastAsia="Georgia" w:hAnsi="Georgia"/>
          <w:color w:val="222222"/>
          <w:sz w:val="23"/>
          <w:szCs w:val="23"/>
        </w:rPr>
        <w:t xml:space="preserve">For readers in Nigeria and across the Global South, this is not simply an American domestic drama. A trade order in which Washington raises walls and Beijing reroutes surplus capacity has direct consequences for African economies — from cheaper, subsidised Chinese solar panels and vehicles reshaping local energy and transport markets, to the risk that African exporters caught in Washington's expanding tariff net (as several already have been, alongside Brazil, India, and dozens of others) face reduced access to the U.S. market just as they seek to diversify beyond commodity exports. A weaker dollar-driven trade order, disputed at every turn in American courts, also injects volatility into the naira and other African currencies that trade partners must navigate without the cushion Washington and Beijing can each absorb.</w:t>
      </w:r>
    </w:p>
    <w:p>
      <w:pPr>
        <w:spacing w:after="200" w:line="300"/>
        <w:jc w:val="both"/>
      </w:pPr>
      <w:r>
        <w:rPr>
          <w:rFonts w:ascii="Georgia" w:cs="Georgia" w:eastAsia="Georgia" w:hAnsi="Georgia"/>
          <w:color w:val="222222"/>
          <w:sz w:val="23"/>
          <w:szCs w:val="23"/>
        </w:rPr>
        <w:t xml:space="preserve">The deeper lesson, however, is a familiar one for students of trade policy: tariffs are, at their core, a domestic tax collected at the border and paid by importers, who pass the bulk of it on to consumers. Cloaking that tax in the language of national security or labour rights does not change its incidence. Eighteen months into this experiment, the empirical record is now large enough to be unambiguous — the U.S. goods trade deficit hit record levels in 2025 despite the tariff barrage, China's manufacturing footprint has continued to expand, and it is the American household, not the Chinese state, that has absorbed the bill. As the November midterms approach, the administration's central economic promise — that foreigners would pay for this trade war — is being tested against household budgets that say otherwise.</w:t>
      </w:r>
    </w:p>
    <w:p>
      <w:pPr>
        <w:pBdr>
          <w:top w:val="single" w:color="B8860B" w:sz="6" w:space="8"/>
        </w:pBdr>
        <w:spacing w:before="320"/>
      </w:pPr>
      <w:r>
        <w:rPr>
          <w:rFonts w:ascii="Georgia" w:cs="Georgia" w:eastAsia="Georgia" w:hAnsi="Georgia"/>
          <w:i/>
          <w:iCs/>
          <w:color w:val="555555"/>
          <w:sz w:val="18"/>
          <w:szCs w:val="18"/>
        </w:rPr>
        <w:t xml:space="preserve">This op-ed reflects the analysis of the author and the TMN Economy &amp; Technology Policy Desk. Figures are drawn from the Tax Foundation, Yale Budget Lab, Goldman Sachs research, the Joint Economic Committee, Nikkei Asia, Oxford Economics, and CFR/Morning Consult and Harris/Guardian polling, current as of August 2026.</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60B" w:sz="6" w:space="6"/>
      </w:pBdr>
      <w:jc w:val="center"/>
    </w:pPr>
    <w:r>
      <w:rPr>
        <w:rFonts w:ascii="Calibri" w:cs="Calibri" w:eastAsia="Calibri" w:hAnsi="Calibri"/>
        <w:color w:val="555555"/>
        <w:sz w:val="16"/>
        <w:szCs w:val="16"/>
      </w:rPr>
      <w:t xml:space="preserve">Thought Media Network  ·  Op-Ed  ·  Page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1F3A" w:sz="10" w:space="6"/>
      </w:pBdr>
      <w:spacing w:after="60"/>
    </w:pPr>
    <w:r>
      <w:rPr>
        <w:rFonts w:ascii="Calibri" w:cs="Calibri" w:eastAsia="Calibri" w:hAnsi="Calibri"/>
        <w:b/>
        <w:bCs/>
        <w:color w:val="0B1F3A"/>
        <w:spacing w:val="20"/>
        <w:sz w:val="24"/>
        <w:szCs w:val="24"/>
      </w:rPr>
      <w:t xml:space="preserve">THOUGHT MEDIA NETWORK</w:t>
    </w:r>
    <w:r>
      <w:rPr>
        <w:rFonts w:ascii="Calibri" w:cs="Calibri" w:eastAsia="Calibri" w:hAnsi="Calibri"/>
        <w:b w:val="false"/>
        <w:bCs w:val="false"/>
        <w:color w:val="B8860B"/>
        <w:spacing w:val="10"/>
        <w:sz w:val="18"/>
        <w:szCs w:val="18"/>
      </w:rPr>
      <w:t xml:space="preserve">   |   ECONOMY &amp; TECHNOLOGY POLICY DESK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2026-08-20T04:59:59.650Z</dcterms:created>
  <dcterms:modified xsi:type="dcterms:W3CDTF">2026-08-20T04:59:59.662Z</dcterms:modified>
</cp:coreProperties>
</file>

<file path=docProps/custom.xml><?xml version="1.0" encoding="utf-8"?>
<Properties xmlns="http://schemas.openxmlformats.org/officeDocument/2006/custom-properties" xmlns:vt="http://schemas.openxmlformats.org/officeDocument/2006/docPropsVTypes"/>
</file>