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120"/>
        <w:rPr/>
      </w:pPr>
    </w:p>
    <w:p>
      <w:pPr>
        <w:pStyle w:val="style0"/>
        <w:spacing w:after="60"/>
        <w:rPr/>
      </w:pPr>
      <w:r>
        <w:rPr>
          <w:rFonts w:ascii="Georgia" w:cs="Georgia" w:eastAsia="Georgia" w:hAnsi="Georgia"/>
          <w:b/>
          <w:bCs/>
          <w:color w:val="b8862e"/>
          <w:spacing w:val="30"/>
          <w:sz w:val="20"/>
          <w:szCs w:val="20"/>
        </w:rPr>
        <w:t>EDITORIAL ANALYSIS</w:t>
      </w:r>
    </w:p>
    <w:p>
      <w:pPr>
        <w:pStyle w:val="style0"/>
        <w:spacing w:after="200"/>
        <w:rPr/>
      </w:pPr>
      <w:r>
        <w:rPr>
          <w:rFonts w:ascii="Georgia" w:cs="Georgia" w:eastAsia="Georgia" w:hAnsi="Georgia"/>
          <w:b/>
          <w:bCs/>
          <w:color w:val="1b2a4a"/>
          <w:sz w:val="52"/>
          <w:szCs w:val="52"/>
        </w:rPr>
        <w:t>The Ghost in the Machine</w:t>
      </w:r>
    </w:p>
    <w:p>
      <w:pPr>
        <w:pStyle w:val="style0"/>
        <w:spacing w:after="260"/>
        <w:rPr/>
      </w:pPr>
      <w:r>
        <w:rPr>
          <w:rFonts w:ascii="Georgia" w:cs="Georgia" w:eastAsia="Georgia" w:hAnsi="Georgia"/>
          <w:i/>
          <w:iCs/>
          <w:color w:val="8c6a22"/>
          <w:sz w:val="30"/>
          <w:szCs w:val="30"/>
        </w:rPr>
        <w:t>What the PFIPC Scandal Really Exposes About Nigeria's Presidency</w:t>
      </w:r>
    </w:p>
    <w:p>
      <w:pPr>
        <w:pStyle w:val="style0"/>
        <w:pBdr>
          <w:bottom w:val="single" w:sz="16" w:space="8" w:color="1b2a4a"/>
        </w:pBdr>
        <w:spacing w:after="100"/>
        <w:rPr/>
      </w:pPr>
      <w:r>
        <w:rPr>
          <w:rFonts w:ascii="Georgia" w:cs="Georgia" w:eastAsia="Georgia" w:hAnsi="Georgia"/>
          <w:color w:val="3a3a3a"/>
          <w:sz w:val="24"/>
          <w:szCs w:val="24"/>
        </w:rPr>
        <w:t>A phantom council secured office space, bank accounts, a recruitment waiver and a billion-naira budget line before anyone in government said a word — and an intermediary is dead. The real scandal may not be the fraud, but the machinery that let it move.</w:t>
      </w:r>
    </w:p>
    <w:p>
      <w:pPr>
        <w:pStyle w:val="style0"/>
        <w:spacing w:after="120"/>
        <w:rPr/>
      </w:pPr>
    </w:p>
    <w:p>
      <w:pPr>
        <w:pStyle w:val="style0"/>
        <w:spacing w:after="300"/>
        <w:rPr/>
      </w:pPr>
      <w:r>
        <w:rPr>
          <w:rFonts w:ascii="Georgia" w:cs="Georgia" w:eastAsia="Georgia" w:hAnsi="Georgia"/>
          <w:b/>
          <w:bCs/>
          <w:color w:val="1b2a4a"/>
          <w:sz w:val="22"/>
          <w:szCs w:val="22"/>
        </w:rPr>
        <w:t>By Richard Adeolu Adejumobi</w:t>
      </w:r>
      <w:r>
        <w:rPr>
          <w:rFonts w:ascii="Georgia" w:cs="Georgia" w:eastAsia="Georgia" w:hAnsi="Georgia"/>
          <w:color w:val="555555"/>
          <w:sz w:val="20"/>
          <w:szCs w:val="20"/>
        </w:rPr>
        <w:t xml:space="preserve">   |   TMN Politics &amp; Governance Desk</w:t>
      </w:r>
    </w:p>
    <w:p>
      <w:pPr>
        <w:pStyle w:val="style0"/>
        <w:pBdr>
          <w:bottom w:val="single" w:sz="4" w:space="6" w:color="c9a24b"/>
        </w:pBdr>
        <w:spacing w:before="320" w:after="120"/>
        <w:rPr/>
      </w:pPr>
      <w:r>
        <w:rPr>
          <w:rFonts w:ascii="Georgia" w:cs="Georgia" w:eastAsia="Georgia" w:hAnsi="Georgia"/>
          <w:b/>
          <w:bCs/>
          <w:color w:val="1b2a4a"/>
          <w:spacing w:val="10"/>
          <w:sz w:val="24"/>
          <w:szCs w:val="24"/>
        </w:rPr>
        <w:t>A COUNCIL THAT WAS NEVER SUPPOSED TO EXIST</w:t>
      </w:r>
    </w:p>
    <w:p>
      <w:pPr>
        <w:pStyle w:val="style0"/>
        <w:spacing w:after="200" w:lineRule="auto" w:line="320"/>
        <w:jc w:val="both"/>
        <w:rPr/>
      </w:pPr>
      <w:r>
        <w:rPr>
          <w:rFonts w:ascii="Georgia" w:cs="Georgia" w:eastAsia="Georgia" w:hAnsi="Georgia"/>
          <w:color w:val="222222"/>
          <w:sz w:val="22"/>
          <w:szCs w:val="22"/>
        </w:rPr>
        <w:t>Nigeria's 2026 Appropriation Act, on pages 50 and 51, lists an entity styled the Presidential Economic Advisory Council/Presidential Foreign Intervention Promotion Council, with an allocation exceeding ₦1.3 billion — ₦802.9 million for personnel, ₦200 million for overhead, ₦300 million for capital projects. The Presidency's official position, delivered by Special Adviser Bayo Onanuga on July 1, is that this body has never existed under the current administration, and that a man calling himself its Director-General, Prince Adeniyi Adeyemi Matthew, is a serial impostor whose documented history stretches back to a fabricated United Nations affiliation in 2016.</w:t>
      </w:r>
    </w:p>
    <w:p>
      <w:pPr>
        <w:pStyle w:val="style0"/>
        <w:spacing w:after="200" w:lineRule="auto" w:line="320"/>
        <w:jc w:val="both"/>
        <w:rPr/>
      </w:pPr>
      <w:r>
        <w:rPr>
          <w:rFonts w:ascii="Georgia" w:cs="Georgia" w:eastAsia="Georgia" w:hAnsi="Georgia"/>
          <w:color w:val="222222"/>
          <w:sz w:val="22"/>
          <w:szCs w:val="22"/>
        </w:rPr>
        <w:t>Both things cannot simply be true side by side without an explanation, and that explanation has not yet been given.</w:t>
      </w:r>
    </w:p>
    <w:p>
      <w:pPr>
        <w:pStyle w:val="style0"/>
        <w:spacing w:after="80"/>
        <w:rPr/>
      </w:pPr>
    </w:p>
    <w:tbl>
      <w:tblPr>
        <w:tblW w:w="100" w:type="pct"/>
        <w:tblBorders>
          <w:top w:val="single" w:sz="12" w:space="0" w:color="b8862e"/>
          <w:left w:val="none" w:sz="0" w:space="0" w:color="ffffff"/>
          <w:bottom w:val="single" w:sz="12" w:space="0" w:color="b8862e"/>
          <w:right w:val="none" w:sz="0" w:space="0" w:color="ffffff"/>
          <w:insideH w:val="none" w:sz="0" w:space="0" w:color="ffffff"/>
          <w:insideV w:val="none" w:sz="0" w:space="0" w:color="ffffff"/>
        </w:tblBorders>
      </w:tblPr>
      <w:tblGrid>
        <w:gridCol w:w="1965"/>
      </w:tblGrid>
      <w:tr>
        <w:trPr/>
        <w:tc>
          <w:tcPr>
            <w:tcW w:w="0" w:type="auto"/>
            <w:tcBorders/>
            <w:shd w:val="clear" w:color="auto" w:fill="f4efe3"/>
            <w:tcMar>
              <w:top w:w="220" w:type="dxa"/>
              <w:left w:w="300" w:type="dxa"/>
              <w:bottom w:w="220" w:type="dxa"/>
              <w:right w:w="300" w:type="dxa"/>
            </w:tcMar>
            <w:vAlign w:val="center"/>
          </w:tcPr>
          <w:p>
            <w:pPr>
              <w:pStyle w:val="style0"/>
              <w:jc w:val="center"/>
              <w:rPr/>
            </w:pPr>
            <w:r>
              <w:rPr>
                <w:rFonts w:ascii="Georgia" w:cs="Georgia" w:eastAsia="Georgia" w:hAnsi="Georgia"/>
                <w:b/>
                <w:bCs/>
                <w:i/>
                <w:iCs/>
                <w:color w:val="1b2a4a"/>
                <w:sz w:val="26"/>
                <w:szCs w:val="26"/>
              </w:rPr>
              <w:t>A forger who secures a Central Bank account, a Head of Civil Service recruitment waiver, and a line item in the national budget is not a lone con artist. He is evidence of a system that failed at every checkpoint designed to stop him.</w:t>
            </w:r>
          </w:p>
        </w:tc>
      </w:tr>
    </w:tbl>
    <w:p>
      <w:pPr>
        <w:pStyle w:val="style0"/>
        <w:spacing w:after="200"/>
        <w:rPr/>
      </w:pPr>
    </w:p>
    <w:p>
      <w:pPr>
        <w:pStyle w:val="style0"/>
        <w:pBdr>
          <w:bottom w:val="single" w:sz="4" w:space="6" w:color="c9a24b"/>
        </w:pBdr>
        <w:spacing w:before="320" w:after="120"/>
        <w:rPr/>
      </w:pPr>
      <w:r>
        <w:rPr>
          <w:rFonts w:ascii="Georgia" w:cs="Georgia" w:eastAsia="Georgia" w:hAnsi="Georgia"/>
          <w:b/>
          <w:bCs/>
          <w:color w:val="1b2a4a"/>
          <w:spacing w:val="10"/>
          <w:sz w:val="24"/>
          <w:szCs w:val="24"/>
        </w:rPr>
        <w:t>THE MACHINERY THAT MOVED ANYWAY</w:t>
      </w:r>
    </w:p>
    <w:p>
      <w:pPr>
        <w:pStyle w:val="style0"/>
        <w:spacing w:after="200" w:lineRule="auto" w:line="320"/>
        <w:jc w:val="both"/>
        <w:rPr/>
      </w:pPr>
      <w:r>
        <w:rPr>
          <w:rFonts w:ascii="Georgia" w:cs="Georgia" w:eastAsia="Georgia" w:hAnsi="Georgia"/>
          <w:color w:val="222222"/>
          <w:sz w:val="22"/>
          <w:szCs w:val="22"/>
        </w:rPr>
        <w:t>Set aside, for a moment, the question of who is lying. Focus instead on what is documented and undisputed by either side.</w:t>
      </w:r>
    </w:p>
    <w:p>
      <w:pPr>
        <w:pStyle w:val="style0"/>
        <w:spacing w:after="200" w:lineRule="auto" w:line="320"/>
        <w:jc w:val="both"/>
        <w:rPr/>
      </w:pPr>
      <w:r>
        <w:rPr>
          <w:rFonts w:ascii="Georgia" w:cs="Georgia" w:eastAsia="Georgia" w:hAnsi="Georgia"/>
          <w:color w:val="222222"/>
          <w:sz w:val="22"/>
          <w:szCs w:val="22"/>
        </w:rPr>
        <w:t>By April 2025, Adeyemi was corresponding with the Office of the Accountant-General of the Federation on PFIPC letterhead, requesting deployment of accounting and audit staff. The request was processed. On August 7, 2025, the Office of the Head of the Civil Service of the Federation issued a formal waiver — necessary because of a standing embargo on civil service recruitment — approving 300 staff positions for the council. The waiver's language did not hedge: it referred to “the 2025 approved establishment position” of the agency, treating PFIPC as a recognised entity, not an alleged one. Three weeks later, on August 28, 2025, three civil servants were officially posted to the council and began work on the second floor of the Federal Secretariat, Phase III. Sometime between September and December 2025 — after Adeyemi had already been arrested — a budget code, 0111062001, was inserted into the proposed 2026 Appropriation Bill.</w:t>
      </w:r>
    </w:p>
    <w:p>
      <w:pPr>
        <w:pStyle w:val="style0"/>
        <w:spacing w:after="200" w:lineRule="auto" w:line="320"/>
        <w:jc w:val="both"/>
        <w:rPr/>
      </w:pPr>
      <w:r>
        <w:rPr>
          <w:rFonts w:ascii="Georgia" w:cs="Georgia" w:eastAsia="Georgia" w:hAnsi="Georgia"/>
          <w:color w:val="222222"/>
          <w:sz w:val="22"/>
          <w:szCs w:val="22"/>
        </w:rPr>
        <w:t>None of this rests on Adeyemi's testimony. This is the paper trail of Nigeria's own civil service, moving a fictitious agency through five distinct institutional gates: the Accountant-General's office, the Head of Civil Service, the Central Bank of Nigeria, the Federal Secretariat's facilities administration, and ultimately the Budget Office itself. A lone forger with a laptop does not clear five gates. Either those gates were staffed by people who failed catastrophically at basic verification, or some of them knew exactly what they were approving.</w:t>
      </w:r>
    </w:p>
    <w:p>
      <w:pPr>
        <w:pStyle w:val="style0"/>
        <w:pBdr>
          <w:bottom w:val="single" w:sz="4" w:space="6" w:color="c9a24b"/>
        </w:pBdr>
        <w:spacing w:before="320" w:after="120"/>
        <w:rPr/>
      </w:pPr>
      <w:r>
        <w:rPr>
          <w:rFonts w:ascii="Georgia" w:cs="Georgia" w:eastAsia="Georgia" w:hAnsi="Georgia"/>
          <w:b/>
          <w:bCs/>
          <w:color w:val="1b2a4a"/>
          <w:spacing w:val="10"/>
          <w:sz w:val="24"/>
          <w:szCs w:val="24"/>
        </w:rPr>
        <w:t>TWO NARRATIVES, ONE UNRESOLVED DEATH</w:t>
      </w:r>
    </w:p>
    <w:p>
      <w:pPr>
        <w:pStyle w:val="style0"/>
        <w:spacing w:after="200" w:lineRule="auto" w:line="320"/>
        <w:jc w:val="both"/>
        <w:rPr/>
      </w:pPr>
      <w:r>
        <w:rPr>
          <w:rFonts w:ascii="Georgia" w:cs="Georgia" w:eastAsia="Georgia" w:hAnsi="Georgia"/>
          <w:color w:val="222222"/>
          <w:sz w:val="22"/>
          <w:szCs w:val="22"/>
        </w:rPr>
        <w:t>The Presidency's account is that Chief of Staff Femi Gbajabiamila first raised the alarm on October 17, 2025, after the Nigerian Investment Promotion Commission complained that a rival body was performing duplicate functions. Adeyemi was arrested ten days later. He is now facing an eight-count charge — forgery, impersonation, conspiracy — at the Federal High Court, with trial resuming July 27.</w:t>
      </w:r>
    </w:p>
    <w:p>
      <w:pPr>
        <w:pStyle w:val="style0"/>
        <w:spacing w:after="200" w:lineRule="auto" w:line="320"/>
        <w:jc w:val="both"/>
        <w:rPr/>
      </w:pPr>
      <w:r>
        <w:rPr>
          <w:rFonts w:ascii="Georgia" w:cs="Georgia" w:eastAsia="Georgia" w:hAnsi="Georgia"/>
          <w:color w:val="222222"/>
          <w:sz w:val="22"/>
          <w:szCs w:val="22"/>
        </w:rPr>
        <w:t>Adeyemi's account, delivered from hiding and later in a televised interview, is that his appointment was genuine and transactional: that Gbajabiamila's office received ₦400 million through a proxy, demanded a further ₦200 million and 48 percent of the council's proposed ₦27.4 billion take-off grant, and that his refusal to pay triggered the disclaimer campaign against him.</w:t>
      </w:r>
    </w:p>
    <w:p>
      <w:pPr>
        <w:pStyle w:val="style0"/>
        <w:spacing w:after="200" w:lineRule="auto" w:line="320"/>
        <w:jc w:val="both"/>
        <w:rPr/>
      </w:pPr>
      <w:r>
        <w:rPr>
          <w:rFonts w:ascii="Georgia" w:cs="Georgia" w:eastAsia="Georgia" w:hAnsi="Georgia"/>
          <w:color w:val="222222"/>
          <w:sz w:val="22"/>
          <w:szCs w:val="22"/>
        </w:rPr>
        <w:t>Neither man has produced primary documentary proof that resolves the dispute in his favour. What is not in dispute is that Dolapo Babatunde Tanimola, the man both sides describe as the intermediary between them, died in a hotel fire in Utako, Abuja, on October 22, 2025 — one day after police received the Chief of Staff's petition, and five days before Adeyemi's arrest. The Presidency has offered assurances that police confirmed the death through hotel records, hospital documentation and burial confirmation. Assurances are not the same as a published autopsy or coroner's finding, and none has been made public. A dead intermediary in an active bribery allegation, at this exact point in the timeline, is not a detail an honest investigation can leave to a press statement.</w:t>
      </w:r>
    </w:p>
    <w:p>
      <w:pPr>
        <w:pStyle w:val="style0"/>
        <w:pBdr>
          <w:bottom w:val="single" w:sz="4" w:space="6" w:color="c9a24b"/>
        </w:pBdr>
        <w:spacing w:before="320" w:after="120"/>
        <w:rPr/>
      </w:pPr>
      <w:r>
        <w:rPr>
          <w:rFonts w:ascii="Georgia" w:cs="Georgia" w:eastAsia="Georgia" w:hAnsi="Georgia"/>
          <w:b/>
          <w:bCs/>
          <w:color w:val="1b2a4a"/>
          <w:spacing w:val="10"/>
          <w:sz w:val="24"/>
          <w:szCs w:val="24"/>
        </w:rPr>
        <w:t>THE INSTITUTIONAL QUESTION NO ONE WANTS TO ANSWER</w:t>
      </w:r>
    </w:p>
    <w:p>
      <w:pPr>
        <w:pStyle w:val="style0"/>
        <w:spacing w:after="200" w:lineRule="auto" w:line="320"/>
        <w:jc w:val="both"/>
        <w:rPr/>
      </w:pPr>
      <w:r>
        <w:rPr>
          <w:rFonts w:ascii="Georgia" w:cs="Georgia" w:eastAsia="Georgia" w:hAnsi="Georgia"/>
          <w:color w:val="222222"/>
          <w:sz w:val="22"/>
          <w:szCs w:val="22"/>
        </w:rPr>
        <w:t>The framing that has dominated coverage so far — con artist versus Chief of Staff — is the least demanding way to tell this story, and probably the least accurate. It lets every institution in between off the hook.</w:t>
      </w:r>
    </w:p>
    <w:p>
      <w:pPr>
        <w:pStyle w:val="style0"/>
        <w:spacing w:after="200" w:lineRule="auto" w:line="320"/>
        <w:jc w:val="both"/>
        <w:rPr/>
      </w:pPr>
      <w:r>
        <w:rPr>
          <w:rFonts w:ascii="Georgia" w:cs="Georgia" w:eastAsia="Georgia" w:hAnsi="Georgia"/>
          <w:color w:val="222222"/>
          <w:sz w:val="22"/>
          <w:szCs w:val="22"/>
        </w:rPr>
        <w:t>BudgIT's review of prior Appropriation Acts found no trace of PFIPC or PEAC in the 2023, 2024, or 2025 budgets. Its emergence in 2026, mid-way through a live criminal prosecution of its supposed founder, is either an extraordinary coincidence or evidence that someone with legitimate budget-drafting access understood the entity well enough to code it correctly, name it plausibly, and cost it out to the naira. Budget analyst Joseph Oriowo has laid out, correctly, that Nigeria's appropriation chain requires FEC policy approval, National Assembly recognition, Budget Office coding and presidential transmission — a sequence the Chief of Staff has no authority to short-circuit alone. That argument exonerates Gbajabiamila from budget mechanics. It does not explain who did have that authority and used it.</w:t>
      </w:r>
    </w:p>
    <w:p>
      <w:pPr>
        <w:pStyle w:val="style0"/>
        <w:spacing w:after="200" w:lineRule="auto" w:line="320"/>
        <w:jc w:val="both"/>
        <w:rPr/>
      </w:pPr>
      <w:r>
        <w:rPr>
          <w:rFonts w:ascii="Georgia" w:cs="Georgia" w:eastAsia="Georgia" w:hAnsi="Georgia"/>
          <w:color w:val="222222"/>
          <w:sz w:val="22"/>
          <w:szCs w:val="22"/>
        </w:rPr>
        <w:t>The same applies up and down the chain: who at the Head of Civil Service's office signed a waiver treating the council as pre-approved without checking for an enabling instrument? Who at the CBN opened an account for a federal agency without a gazette reference? Was the Accountant-General's office deceived, negligent, or complicit when it posted career civil servants into a body it now says never existed?</w:t>
      </w:r>
    </w:p>
    <w:p>
      <w:pPr>
        <w:pStyle w:val="style0"/>
        <w:pBdr>
          <w:bottom w:val="single" w:sz="4" w:space="6" w:color="c9a24b"/>
        </w:pBdr>
        <w:spacing w:before="320" w:after="120"/>
        <w:rPr/>
      </w:pPr>
      <w:r>
        <w:rPr>
          <w:rFonts w:ascii="Georgia" w:cs="Georgia" w:eastAsia="Georgia" w:hAnsi="Georgia"/>
          <w:b/>
          <w:bCs/>
          <w:color w:val="1b2a4a"/>
          <w:spacing w:val="10"/>
          <w:sz w:val="24"/>
          <w:szCs w:val="24"/>
        </w:rPr>
        <w:t>THE WAY FORWARD</w:t>
      </w:r>
    </w:p>
    <w:p>
      <w:pPr>
        <w:pStyle w:val="style0"/>
        <w:spacing w:after="200" w:lineRule="auto" w:line="320"/>
        <w:jc w:val="both"/>
        <w:rPr/>
      </w:pPr>
      <w:r>
        <w:rPr>
          <w:rFonts w:ascii="Georgia" w:cs="Georgia" w:eastAsia="Georgia" w:hAnsi="Georgia"/>
          <w:color w:val="222222"/>
          <w:sz w:val="22"/>
          <w:szCs w:val="22"/>
        </w:rPr>
        <w:t>An editorial position, to be worth publishing, has to say what should happen next, not just what went wrong.</w:t>
      </w:r>
    </w:p>
    <w:p>
      <w:pPr>
        <w:pStyle w:val="style0"/>
        <w:spacing w:after="200" w:lineRule="auto" w:line="320"/>
        <w:jc w:val="both"/>
        <w:rPr/>
      </w:pPr>
      <w:r>
        <w:rPr>
          <w:rFonts w:ascii="Georgia" w:cs="Georgia" w:eastAsia="Georgia" w:hAnsi="Georgia"/>
          <w:color w:val="222222"/>
          <w:sz w:val="22"/>
          <w:szCs w:val="22"/>
        </w:rPr>
        <w:t>First, the July 27 trial should not be allowed to become the full and final word on this matter. A criminal court will determine Adeyemi's guilt or innocence on forgery and impersonation charges. It will not, and cannot, be asked to determine whether Nigeria's civil service architecture is safe from repetition. That requires a separate, independent administrative inquiry — ideally led by the National Assembly's Public Accounts Committee in tandem with the Auditor-General — with a narrow, falsifiable mandate: trace the budget code's approval chain, the CBN account's KYC file, and the recruitment waiver's authorising instrument, and publish the findings regardless of what they show.</w:t>
      </w:r>
    </w:p>
    <w:p>
      <w:pPr>
        <w:pStyle w:val="style0"/>
        <w:spacing w:after="200" w:lineRule="auto" w:line="320"/>
        <w:jc w:val="both"/>
        <w:rPr/>
      </w:pPr>
      <w:r>
        <w:rPr>
          <w:rFonts w:ascii="Georgia" w:cs="Georgia" w:eastAsia="Georgia" w:hAnsi="Georgia"/>
          <w:color w:val="222222"/>
          <w:sz w:val="22"/>
          <w:szCs w:val="22"/>
        </w:rPr>
        <w:t>Second, Tanimola's death deserves an independent forensic review, separate from the police assurances already offered. This is not an accusation against any party; it is a minimum standard given the timing.</w:t>
      </w:r>
    </w:p>
    <w:p>
      <w:pPr>
        <w:pStyle w:val="style0"/>
        <w:spacing w:after="200" w:lineRule="auto" w:line="320"/>
        <w:jc w:val="both"/>
        <w:rPr/>
      </w:pPr>
      <w:r>
        <w:rPr>
          <w:rFonts w:ascii="Georgia" w:cs="Georgia" w:eastAsia="Georgia" w:hAnsi="Georgia"/>
          <w:color w:val="222222"/>
          <w:sz w:val="22"/>
          <w:szCs w:val="22"/>
        </w:rPr>
        <w:t>Third, and most important for public trust: Nigerians should not accept “he was disowned” as a substitute for “here is how he was stopped.” A disclaimer is not an audit. Until the Presidency publishes the specific administrative failures that let a fictitious council operate inside the Federal Secretariat for the better part of two years, the PFIPC affair will remain what it currently is — a scandal explained twice, by two interested parties, and independently verified by neither.</w:t>
      </w:r>
    </w:p>
    <w:p>
      <w:pPr>
        <w:pStyle w:val="style0"/>
        <w:spacing w:after="200" w:lineRule="auto" w:line="320"/>
        <w:jc w:val="both"/>
        <w:rPr/>
      </w:pPr>
      <w:r>
        <w:rPr>
          <w:rFonts w:ascii="Georgia" w:cs="Georgia" w:eastAsia="Georgia" w:hAnsi="Georgia"/>
          <w:color w:val="222222"/>
          <w:sz w:val="22"/>
          <w:szCs w:val="22"/>
        </w:rPr>
        <w:t>The country does not need to resolve whether Adeyemi is a fraudster or a victim to know that its own institutions failed a basic test of self-knowledge: they could not tell, for the better part of two years, what did and did not belong to the government of Nigeria. That failure will outlast this news cycle unless someone outside the two men at the centre of it is made to answer for it.</w:t>
      </w:r>
    </w:p>
    <w:p>
      <w:pPr>
        <w:pStyle w:val="style0"/>
        <w:spacing w:after="160"/>
        <w:rPr/>
      </w:pPr>
    </w:p>
    <w:p>
      <w:pPr>
        <w:pStyle w:val="style0"/>
        <w:pBdr>
          <w:top w:val="single" w:sz="6" w:space="8" w:color="aaaaaa"/>
        </w:pBdr>
        <w:spacing w:before="100"/>
        <w:rPr/>
      </w:pPr>
      <w:r>
        <w:rPr>
          <w:rFonts w:ascii="Georgia" w:cs="Georgia" w:eastAsia="Georgia" w:hAnsi="Georgia"/>
          <w:i/>
          <w:iCs/>
          <w:color w:val="666666"/>
          <w:sz w:val="18"/>
          <w:szCs w:val="18"/>
        </w:rPr>
        <w:t>This is a developing legal and political matter. Adeniyi Adeyemi's criminal trial resumes July 27 at the Federal High Court, Abuja. All parties named remain entitled to the presumption of innocence pending its outcome.</w:t>
      </w:r>
    </w:p>
    <w:sectPr>
      <w:headerReference w:type="default" r:id="rId2"/>
      <w:footerReference w:type="default" r:id="rId3"/>
      <w:pgSz w:w="12240" w:h="15840" w:orient="portrait"/>
      <w:pgMar w:top="1080" w:right="1080" w:bottom="1080" w:left="1080"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top w:val="single" w:sz="8" w:space="6" w:color="b8862e"/>
      </w:pBdr>
      <w:jc w:val="center"/>
      <w:rPr/>
    </w:pPr>
    <w:r>
      <w:rPr>
        <w:rFonts w:ascii="Georgia" w:cs="Georgia" w:eastAsia="Georgia" w:hAnsi="Georgia"/>
        <w:color w:val="666666"/>
        <w:sz w:val="16"/>
        <w:szCs w:val="16"/>
      </w:rPr>
      <w:t xml:space="preserve">TMN EDITORIAL   ·   </w:t>
    </w:r>
    <w:r>
      <w:rPr>
        <w:rFonts w:ascii="Georgia" w:cs="Georgia" w:eastAsia="Georgia" w:hAnsi="Georgia"/>
        <w:color w:val="666666"/>
        <w:sz w:val="16"/>
        <w:szCs w:val="16"/>
      </w:rPr>
      <w:t xml:space="preserve">PAGE </w:t>
    </w:r>
    <w:r>
      <w:rPr>
        <w:rFonts w:ascii="Georgia" w:cs="Georgia" w:eastAsia="Georgia" w:hAnsi="Georgia"/>
        <w:color w:val="666666"/>
        <w:sz w:val="16"/>
        <w:szCs w:val="16"/>
      </w:rPr>
      <w:fldChar w:fldCharType="begin"/>
    </w:r>
    <w:r>
      <w:rPr>
        <w:rFonts w:ascii="Georgia" w:cs="Georgia" w:eastAsia="Georgia" w:hAnsi="Georgia"/>
        <w:color w:val="666666"/>
        <w:sz w:val="16"/>
        <w:szCs w:val="16"/>
      </w:rPr>
      <w:instrText>PAGE</w:instrText>
    </w:r>
    <w:r>
      <w:rPr>
        <w:rFonts w:ascii="Georgia" w:cs="Georgia" w:eastAsia="Georgia" w:hAnsi="Georgia"/>
        <w:color w:val="666666"/>
        <w:sz w:val="16"/>
        <w:szCs w:val="16"/>
      </w:rPr>
      <w:fldChar w:fldCharType="separate"/>
    </w:r>
    <w:r>
      <w:rPr>
        <w:rFonts w:ascii="Georgia" w:cs="Georgia" w:eastAsia="Georgia" w:hAnsi="Georgia"/>
        <w:color w:val="666666"/>
        <w:sz w:val="16"/>
        <w:szCs w:val="16"/>
      </w:rPr>
      <w:fldChar w:fldCharType="end"/>
    </w:r>
    <w:r>
      <w:rPr>
        <w:rFonts w:ascii="Georgia" w:cs="Georgia" w:eastAsia="Georgia" w:hAnsi="Georgia"/>
        <w:color w:val="666666"/>
        <w:sz w:val="16"/>
        <w:szCs w:val="16"/>
      </w:rPr>
      <w:t xml:space="preserve"> OF </w:t>
    </w:r>
    <w:r>
      <w:rPr>
        <w:rFonts w:ascii="Georgia" w:cs="Georgia" w:eastAsia="Georgia" w:hAnsi="Georgia"/>
        <w:color w:val="666666"/>
        <w:sz w:val="16"/>
        <w:szCs w:val="16"/>
      </w:rPr>
      <w:fldChar w:fldCharType="begin"/>
    </w:r>
    <w:r>
      <w:rPr>
        <w:rFonts w:ascii="Georgia" w:cs="Georgia" w:eastAsia="Georgia" w:hAnsi="Georgia"/>
        <w:color w:val="666666"/>
        <w:sz w:val="16"/>
        <w:szCs w:val="16"/>
      </w:rPr>
      <w:instrText>NUMPAGES</w:instrText>
    </w:r>
    <w:r>
      <w:rPr>
        <w:rFonts w:ascii="Georgia" w:cs="Georgia" w:eastAsia="Georgia" w:hAnsi="Georgia"/>
        <w:color w:val="666666"/>
        <w:sz w:val="16"/>
        <w:szCs w:val="16"/>
      </w:rPr>
      <w:fldChar w:fldCharType="separate"/>
    </w:r>
    <w:r>
      <w:rPr>
        <w:rFonts w:ascii="Georgia" w:cs="Georgia" w:eastAsia="Georgia" w:hAnsi="Georgia"/>
        <w:color w:val="666666"/>
        <w:sz w:val="16"/>
        <w:szCs w:val="16"/>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bottom w:val="single" w:sz="16" w:space="6" w:color="1b2a4a"/>
      </w:pBdr>
      <w:spacing w:after="0"/>
      <w:rPr/>
    </w:pPr>
    <w:r>
      <w:rPr>
        <w:rFonts w:ascii="Georgia" w:cs="Georgia" w:eastAsia="Georgia" w:hAnsi="Georgia"/>
        <w:b/>
        <w:bCs/>
        <w:color w:val="1b2a4a"/>
        <w:spacing w:val="20"/>
        <w:sz w:val="20"/>
        <w:szCs w:val="20"/>
      </w:rPr>
      <w:t>THOUGHT MEDIA NETWORK</w:t>
    </w:r>
    <w:r>
      <w:rPr>
        <w:rFonts w:ascii="Georgia" w:cs="Georgia" w:eastAsia="Georgia" w:hAnsi="Georgia"/>
        <w:b/>
        <w:bCs/>
        <w:color w:val="8c6a22"/>
        <w:spacing w:val="10"/>
        <w:sz w:val="18"/>
        <w:szCs w:val="18"/>
      </w:rPr>
      <w:t xml:space="preserve">   |   POLITICS &amp; GOVERNANCE DESK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pPrDefault>
      <w:pPr/>
    </w:pPrDefault>
  </w:docDefaults>
  <w:style w:type="paragraph" w:styleId="style62">
    <w:name w:val="Title"/>
    <w:next w:val="style62"/>
    <w:qFormat/>
    <w:pPr/>
    <w:rPr>
      <w:sz w:val="56"/>
      <w:szCs w:val="56"/>
    </w:rPr>
  </w:style>
  <w:style w:type="paragraph" w:customStyle="1" w:styleId="style4097">
    <w:name w:val="Heading 1"/>
    <w:next w:val="style4097"/>
    <w:qFormat/>
    <w:pPr/>
    <w:rPr>
      <w:color w:val="2e74b5"/>
      <w:sz w:val="32"/>
      <w:szCs w:val="32"/>
    </w:rPr>
  </w:style>
  <w:style w:type="paragraph" w:customStyle="1" w:styleId="style4098">
    <w:name w:val="Heading 2"/>
    <w:next w:val="style4098"/>
    <w:qFormat/>
    <w:pPr/>
    <w:rPr>
      <w:color w:val="2e74b5"/>
      <w:sz w:val="26"/>
      <w:szCs w:val="26"/>
    </w:rPr>
  </w:style>
  <w:style w:type="paragraph" w:customStyle="1" w:styleId="style4099">
    <w:name w:val="Heading 3"/>
    <w:next w:val="style4099"/>
    <w:qFormat/>
    <w:pPr/>
    <w:rPr>
      <w:color w:val="1f4d78"/>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1a1f0f40-2973-4462-8508-e65bcfcfd6e3"/>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character" w:styleId="style42">
    <w:name w:val="endnote reference"/>
    <w:next w:val="style42"/>
    <w:uiPriority w:val="99"/>
    <w:rPr>
      <w:vertAlign w:val="superscript"/>
    </w:rPr>
  </w:style>
  <w:style w:type="paragraph" w:styleId="style43">
    <w:name w:val="endnote text"/>
    <w:next w:val="style43"/>
    <w:link w:val="style4105"/>
    <w:uiPriority w:val="99"/>
    <w:pPr>
      <w:spacing w:after="0" w:lineRule="auto" w:line="240"/>
    </w:pPr>
    <w:rPr>
      <w:sz w:val="20"/>
      <w:szCs w:val="20"/>
    </w:rPr>
  </w:style>
  <w:style w:type="character" w:customStyle="1" w:styleId="style4105">
    <w:name w:val="Endnote Text Char"/>
    <w:next w:val="style4105"/>
    <w:link w:val="style43"/>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1324</Words>
  <Characters>7054</Characters>
  <Application>WPS Office</Application>
  <Paragraphs>38</Paragraphs>
  <CharactersWithSpaces>8378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2026-07-04T05:24:58Z</dcterms:created>
  <dc:creator>Un-named</dc:creator>
  <lastModifiedBy>SM-G998U1</lastModifiedBy>
  <dcterms:modified xsi:type="dcterms:W3CDTF">2026-07-04T05:24:58Z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eedd881a4f0045abaf6d0be2d956253a</vt:lpwstr>
  </property>
</Properties>
</file>