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720"/>
        <w:tblBorders>
          <w:top w:val="single" w:color="auto" w:sz="4"/>
          <w:left w:val="single" w:color="auto" w:sz="4"/>
          <w:bottom w:val="single" w:color="auto" w:sz="4"/>
          <w:right w:val="single" w:color="auto" w:sz="4"/>
          <w:insideH w:val="single" w:color="auto" w:sz="4"/>
          <w:insideV w:val="single" w:color="auto" w:sz="4"/>
        </w:tblBorders>
      </w:tblPr>
      <w:tblGrid>
        <w:gridCol w:w="9720"/>
      </w:tblGrid>
      <w:tr>
        <w:tc>
          <w:tcPr>
            <w:tcBorders>
              <w:top w:val="none" w:color="FFFFFF" w:sz="0"/>
              <w:left w:val="none" w:color="FFFFFF" w:sz="0"/>
              <w:bottom w:val="none" w:color="FFFFFF" w:sz="0"/>
              <w:right w:val="none" w:color="FFFFFF" w:sz="0"/>
            </w:tcBorders>
            <w:shd w:fill="E8A020" w:val="clear"/>
            <w:tcMar>
              <w:top w:type="dxa" w:w="120"/>
              <w:left w:type="dxa" w:w="300"/>
              <w:bottom w:type="dxa" w:w="120"/>
              <w:right w:type="dxa" w:w="300"/>
            </w:tcMar>
          </w:tcPr>
          <w:p>
            <w:pPr>
              <w:jc w:val="center"/>
            </w:pPr>
            <w:r>
              <w:rPr>
                <w:rFonts w:ascii="Arial" w:cs="Arial" w:eastAsia="Arial" w:hAnsi="Arial"/>
                <w:b/>
                <w:bCs/>
                <w:color w:val="0D1B2A"/>
                <w:sz w:val="20"/>
                <w:szCs w:val="20"/>
              </w:rPr>
              <w:t xml:space="preserve">TMN  •  TECHNOLOGY &amp; ECONOMY  •  SECTOR ASSESSMENT</w:t>
            </w:r>
          </w:p>
        </w:tc>
      </w:tr>
    </w:tbl>
    <w:p>
      <w:pPr>
        <w:spacing w:after="0" w:before="80"/>
      </w:pPr>
      <w:r>
        <w:t xml:space="preserve"/>
      </w:r>
    </w:p>
    <w:p>
      <w:pPr>
        <w:spacing w:after="60" w:before="220"/>
      </w:pPr>
      <w:r>
        <w:rPr>
          <w:rFonts w:ascii="Arial" w:cs="Arial" w:eastAsia="Arial" w:hAnsi="Arial"/>
          <w:b/>
          <w:bCs/>
          <w:color w:val="00B4A6"/>
          <w:sz w:val="18"/>
          <w:szCs w:val="18"/>
        </w:rPr>
        <w:t xml:space="preserve">NIGERIA TELECOMS SECTOR REPORT  —  MAY 30, 2026</w:t>
      </w:r>
    </w:p>
    <w:p>
      <w:pPr>
        <w:spacing w:after="80" w:before="60"/>
      </w:pPr>
      <w:r>
        <w:rPr>
          <w:rFonts w:ascii="Arial" w:cs="Arial" w:eastAsia="Arial" w:hAnsi="Arial"/>
          <w:b/>
          <w:bCs/>
          <w:color w:val="0D1B2A"/>
          <w:sz w:val="50"/>
          <w:szCs w:val="50"/>
        </w:rPr>
        <w:t xml:space="preserve">Paying More, Getting Less: The Broken Bargain Between Nigeria’s Telcos and 172 Million Subscribers</w:t>
      </w:r>
    </w:p>
    <w:p>
      <w:pPr>
        <w:spacing w:after="100" w:before="0"/>
      </w:pPr>
      <w:r>
        <w:rPr>
          <w:rFonts w:ascii="Arial" w:cs="Arial" w:eastAsia="Arial" w:hAnsi="Arial"/>
          <w:i/>
          <w:iCs/>
          <w:color w:val="6B7280"/>
          <w:sz w:val="25"/>
          <w:szCs w:val="25"/>
        </w:rPr>
        <w:t xml:space="preserve">After the first tariff hike in twelve years, Nigerians are spending more on calls and data than at any point in the sector’s history — yet quality of service remains critically below standard. This report assesses rates, quality, citizen and business impacts, and the road to improvement.</w:t>
      </w:r>
    </w:p>
    <w:p>
      <w:pPr>
        <w:pBdr>
          <w:bottom w:val="single" w:color="00B4A6" w:sz="10" w:space="1"/>
        </w:pBdr>
        <w:spacing w:after="140" w:before="60"/>
      </w:pPr>
      <w:r>
        <w:t xml:space="preserve"/>
      </w:r>
    </w:p>
    <w:p>
      <w:pPr>
        <w:spacing w:after="40" w:before="40"/>
      </w:pPr>
      <w:r>
        <w:rPr>
          <w:rFonts w:ascii="Arial" w:cs="Arial" w:eastAsia="Arial" w:hAnsi="Arial"/>
          <w:b/>
          <w:bCs/>
          <w:color w:val="0D1B2A"/>
          <w:sz w:val="20"/>
          <w:szCs w:val="20"/>
        </w:rPr>
        <w:t xml:space="preserve">By TMN Technology Desk</w:t>
      </w:r>
      <w:r>
        <w:rPr>
          <w:rFonts w:ascii="Arial" w:cs="Arial" w:eastAsia="Arial" w:hAnsi="Arial"/>
          <w:color w:val="6B7280"/>
          <w:sz w:val="18"/>
          <w:szCs w:val="18"/>
        </w:rPr>
        <w:t xml:space="preserve">  |  TMN Technology Desk  |  Saturday, May 30, 2026</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none" w:color="FFFFFF" w:sz="0"/>
              <w:left w:val="none" w:color="FFFFFF" w:sz="0"/>
              <w:bottom w:val="none" w:color="FFFFFF" w:sz="0"/>
              <w:right w:val="none" w:color="FFFFFF" w:sz="0"/>
            </w:tcBorders>
            <w:shd w:fill="0D1B2A" w:val="clear"/>
            <w:tcMar>
              <w:top w:type="dxa" w:w="140"/>
              <w:left w:type="dxa" w:w="180"/>
              <w:bottom w:type="dxa" w:w="140"/>
              <w:right w:type="dxa" w:w="180"/>
            </w:tcMar>
          </w:tcPr>
          <w:p>
            <w:pPr>
              <w:jc w:val="center"/>
            </w:pPr>
            <w:r>
              <w:rPr>
                <w:rFonts w:ascii="Arial" w:cs="Arial" w:eastAsia="Arial" w:hAnsi="Arial"/>
                <w:b/>
                <w:bCs/>
                <w:color w:val="FFFFFF"/>
                <w:sz w:val="46"/>
                <w:szCs w:val="46"/>
              </w:rPr>
              <w:t xml:space="preserve">172.7m</w:t>
            </w:r>
          </w:p>
          <w:p>
            <w:pPr>
              <w:jc w:val="center"/>
            </w:pPr>
            <w:r>
              <w:rPr>
                <w:rFonts w:ascii="Arial" w:cs="Arial" w:eastAsia="Arial" w:hAnsi="Arial"/>
                <w:color w:val="FFFFFF"/>
                <w:sz w:val="17"/>
                <w:szCs w:val="17"/>
              </w:rPr>
              <w:t xml:space="preserve">Active Mobile Subscriptions</w:t>
            </w:r>
          </w:p>
        </w:tc>
        <w:tc>
          <w:tcPr>
            <w:tcW w:type="dxa" w:w="3120"/>
            <w:tcBorders>
              <w:top w:val="none" w:color="FFFFFF" w:sz="0"/>
              <w:left w:val="none" w:color="FFFFFF" w:sz="0"/>
              <w:bottom w:val="none" w:color="FFFFFF" w:sz="0"/>
              <w:right w:val="none" w:color="FFFFFF" w:sz="0"/>
            </w:tcBorders>
            <w:shd w:fill="00B4A6" w:val="clear"/>
            <w:tcMar>
              <w:top w:type="dxa" w:w="140"/>
              <w:left w:type="dxa" w:w="180"/>
              <w:bottom w:type="dxa" w:w="140"/>
              <w:right w:type="dxa" w:w="180"/>
            </w:tcMar>
          </w:tcPr>
          <w:p>
            <w:pPr>
              <w:jc w:val="center"/>
            </w:pPr>
            <w:r>
              <w:rPr>
                <w:rFonts w:ascii="Arial" w:cs="Arial" w:eastAsia="Arial" w:hAnsi="Arial"/>
                <w:b/>
                <w:bCs/>
                <w:color w:val="FFFFFF"/>
                <w:sz w:val="46"/>
                <w:szCs w:val="46"/>
              </w:rPr>
              <w:t xml:space="preserve">50.58%</w:t>
            </w:r>
          </w:p>
          <w:p>
            <w:pPr>
              <w:jc w:val="center"/>
            </w:pPr>
            <w:r>
              <w:rPr>
                <w:rFonts w:ascii="Arial" w:cs="Arial" w:eastAsia="Arial" w:hAnsi="Arial"/>
                <w:color w:val="FFFFFF"/>
                <w:sz w:val="17"/>
                <w:szCs w:val="17"/>
              </w:rPr>
              <w:t xml:space="preserve">Broadband Penetration (Nov 2025)</w:t>
            </w:r>
          </w:p>
        </w:tc>
        <w:tc>
          <w:tcPr>
            <w:tcW w:type="dxa" w:w="3120"/>
            <w:tcBorders>
              <w:top w:val="none" w:color="FFFFFF" w:sz="0"/>
              <w:left w:val="none" w:color="FFFFFF" w:sz="0"/>
              <w:bottom w:val="none" w:color="FFFFFF" w:sz="0"/>
              <w:right w:val="none" w:color="FFFFFF" w:sz="0"/>
            </w:tcBorders>
            <w:shd w:fill="C0392B" w:val="clear"/>
            <w:tcMar>
              <w:top w:type="dxa" w:w="140"/>
              <w:left w:type="dxa" w:w="180"/>
              <w:bottom w:type="dxa" w:w="140"/>
              <w:right w:type="dxa" w:w="180"/>
            </w:tcMar>
          </w:tcPr>
          <w:p>
            <w:pPr>
              <w:jc w:val="center"/>
            </w:pPr>
            <w:r>
              <w:rPr>
                <w:rFonts w:ascii="Arial" w:cs="Arial" w:eastAsia="Arial" w:hAnsi="Arial"/>
                <w:b/>
                <w:bCs/>
                <w:color w:val="FFFFFF"/>
                <w:sz w:val="46"/>
                <w:szCs w:val="46"/>
              </w:rPr>
              <w:t xml:space="preserve">₦295.5tn</w:t>
            </w:r>
          </w:p>
          <w:p>
            <w:pPr>
              <w:jc w:val="center"/>
            </w:pPr>
            <w:r>
              <w:rPr>
                <w:rFonts w:ascii="Arial" w:cs="Arial" w:eastAsia="Arial" w:hAnsi="Arial"/>
                <w:color w:val="FFFFFF"/>
                <w:sz w:val="17"/>
                <w:szCs w:val="17"/>
              </w:rPr>
              <w:t xml:space="preserve">Digital Payments Q1 2025</w:t>
            </w:r>
          </w:p>
        </w:tc>
      </w:tr>
    </w:tbl>
    <w:p>
      <w:pPr>
        <w:spacing w:after="0" w:before="160"/>
      </w:pPr>
      <w:r>
        <w:t xml:space="preserve"/>
      </w:r>
    </w:p>
    <w:p>
      <w:pPr>
        <w:shd w:fill="0D1B2A" w:val="clear"/>
        <w:spacing w:after="100" w:before="200"/>
        <w:ind w:left="140" w:right="140"/>
      </w:pPr>
      <w:r>
        <w:rPr>
          <w:rFonts w:ascii="Arial" w:cs="Arial" w:eastAsia="Arial" w:hAnsi="Arial"/>
          <w:b/>
          <w:bCs/>
          <w:color w:val="FFFFFF"/>
          <w:sz w:val="21"/>
          <w:szCs w:val="21"/>
        </w:rPr>
        <w:t xml:space="preserve">I.  RATES AND TARIFFS: THE PRICE OF A 50% HIKE</w:t>
      </w:r>
    </w:p>
    <w:p>
      <w:pPr>
        <w:spacing w:after="0" w:before="80"/>
      </w:pPr>
      <w:r>
        <w:t xml:space="preserve"/>
      </w:r>
    </w:p>
    <w:p>
      <w:pPr>
        <w:spacing w:after="80" w:before="80" w:line="340"/>
        <w:jc w:val="both"/>
      </w:pPr>
      <w:r>
        <w:rPr>
          <w:rFonts w:ascii="Georgia" w:cs="Georgia" w:eastAsia="Georgia" w:hAnsi="Georgia"/>
          <w:b w:val="false"/>
          <w:bCs w:val="false"/>
          <w:i w:val="false"/>
          <w:iCs w:val="false"/>
          <w:color w:val="1A1A1A"/>
          <w:sz w:val="22"/>
          <w:szCs w:val="22"/>
        </w:rPr>
        <w:t xml:space="preserve">For over a decade — from 2013 to 2025 — Nigerians paid effectively the same price for calls and data even as inflation rose from 8 per cent to more than 33 per cent. Operators absorbed the cost, deferred investment, and allowed infrastructure to stagnate. When the Nigerian Communications Commission (NCC) finally approved a 50 per cent tariff increase in January 2025, the adjustment was overdue by every financial metric. Yet its arrival in the middle of a cost-of-living crisis made it politically explosive and economically punishing for ordinary consumers.</w:t>
      </w:r>
    </w:p>
    <w:p>
      <w:pPr>
        <w:spacing w:after="80" w:before="80" w:line="340"/>
        <w:jc w:val="both"/>
      </w:pPr>
      <w:r>
        <w:rPr>
          <w:rFonts w:ascii="Georgia" w:cs="Georgia" w:eastAsia="Georgia" w:hAnsi="Georgia"/>
          <w:b w:val="false"/>
          <w:bCs w:val="false"/>
          <w:i w:val="false"/>
          <w:iCs w:val="false"/>
          <w:color w:val="1A1A1A"/>
          <w:sz w:val="22"/>
          <w:szCs w:val="22"/>
        </w:rPr>
        <w:t xml:space="preserve">MTN Nigeria, the market leader with approximately 53 per cent market share and over 75 million active data subscribers, initially attempted a 200 per cent data price increase before withdrawing it after a wave of public outrage. The operator subsequently implemented the NCC-approved 50 per cent adjustment: 1GB now costs ₦525, up from ₦350; a 25GB bundle rose to ₦9,750 from ₦6,500. Airtel, commanding roughly 34 per cent market share with 48.7 million data subscribers, moved similarly — its 23GB plan rising to ₦9,000 from ₦6,000. Glo and T2 Mobile (formerly 9Mobile) followed suit. Beyond the bundle prices, Airtel’s pay-as-you-go browsing rate of ₦4.60 per megabyte — the highest among major operators — means that a subscriber without an active bundle streaming a five-minute video clip can spend more than a typical day’s earnings in the informal economy.</w:t>
      </w:r>
    </w:p>
    <w:p>
      <w:pPr>
        <w:spacing w:after="0" w:before="80"/>
      </w:pPr>
      <w:r>
        <w:t xml:space="preserve"/>
      </w:r>
    </w:p>
    <w:p>
      <w:pPr>
        <w:spacing w:after="80" w:before="60"/>
      </w:pPr>
      <w:r>
        <w:rPr>
          <w:rFonts w:ascii="Arial" w:cs="Arial" w:eastAsia="Arial" w:hAnsi="Arial"/>
          <w:b/>
          <w:bCs/>
          <w:color w:val="0D1B2A"/>
          <w:sz w:val="19"/>
          <w:szCs w:val="19"/>
        </w:rPr>
        <w:t xml:space="preserve">NIGERIA OPERATOR TARIFF COMPARISON — POST-HIKE (FEB 2025 ONWARDS)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10"/>
        <w:gridCol w:w="1850"/>
        <w:gridCol w:w="1850"/>
        <w:gridCol w:w="1850"/>
        <w:gridCol w:w="2000"/>
      </w:tblGrid>
      <w:tr>
        <w:tc>
          <w:tcPr>
            <w:tcW w:type="dxa" w:w="1810"/>
            <w:tcBorders>
              <w:top w:val="single" w:color="CCCCCC" w:sz="4"/>
              <w:left w:val="single" w:color="CCCCCC" w:sz="4"/>
              <w:bottom w:val="single" w:color="CCCCCC" w:sz="4"/>
              <w:right w:val="single" w:color="CCCCCC" w:sz="4"/>
            </w:tcBorders>
            <w:shd w:fill="0D1B2A" w:val="clear"/>
            <w:tcMar>
              <w:top w:type="dxa" w:w="100"/>
              <w:left w:type="dxa" w:w="140"/>
              <w:bottom w:type="dxa" w:w="100"/>
              <w:right w:type="dxa" w:w="140"/>
            </w:tcMar>
          </w:tcPr>
          <w:p>
            <w:pPr>
              <w:jc w:val="center"/>
            </w:pPr>
            <w:r>
              <w:rPr>
                <w:rFonts w:ascii="Arial" w:cs="Arial" w:eastAsia="Arial" w:hAnsi="Arial"/>
                <w:b/>
                <w:bCs/>
                <w:color w:val="FFFFFF"/>
                <w:sz w:val="18"/>
                <w:szCs w:val="18"/>
              </w:rPr>
              <w:t xml:space="preserve">Operator</w:t>
            </w:r>
          </w:p>
        </w:tc>
        <w:tc>
          <w:tcPr>
            <w:tcW w:type="dxa" w:w="1850"/>
            <w:tcBorders>
              <w:top w:val="single" w:color="CCCCCC" w:sz="4"/>
              <w:left w:val="single" w:color="CCCCCC" w:sz="4"/>
              <w:bottom w:val="single" w:color="CCCCCC" w:sz="4"/>
              <w:right w:val="single" w:color="CCCCCC" w:sz="4"/>
            </w:tcBorders>
            <w:shd w:fill="0D1B2A" w:val="clear"/>
            <w:tcMar>
              <w:top w:type="dxa" w:w="100"/>
              <w:left w:type="dxa" w:w="140"/>
              <w:bottom w:type="dxa" w:w="100"/>
              <w:right w:type="dxa" w:w="140"/>
            </w:tcMar>
          </w:tcPr>
          <w:p>
            <w:pPr>
              <w:jc w:val="center"/>
            </w:pPr>
            <w:r>
              <w:rPr>
                <w:rFonts w:ascii="Arial" w:cs="Arial" w:eastAsia="Arial" w:hAnsi="Arial"/>
                <w:b/>
                <w:bCs/>
                <w:color w:val="FFFFFF"/>
                <w:sz w:val="18"/>
                <w:szCs w:val="18"/>
              </w:rPr>
              <w:t xml:space="preserve">1GB Cost</w:t>
            </w:r>
          </w:p>
        </w:tc>
        <w:tc>
          <w:tcPr>
            <w:tcW w:type="dxa" w:w="1850"/>
            <w:tcBorders>
              <w:top w:val="single" w:color="CCCCCC" w:sz="4"/>
              <w:left w:val="single" w:color="CCCCCC" w:sz="4"/>
              <w:bottom w:val="single" w:color="CCCCCC" w:sz="4"/>
              <w:right w:val="single" w:color="CCCCCC" w:sz="4"/>
            </w:tcBorders>
            <w:shd w:fill="0D1B2A" w:val="clear"/>
            <w:tcMar>
              <w:top w:type="dxa" w:w="100"/>
              <w:left w:type="dxa" w:w="140"/>
              <w:bottom w:type="dxa" w:w="100"/>
              <w:right w:type="dxa" w:w="140"/>
            </w:tcMar>
          </w:tcPr>
          <w:p>
            <w:pPr>
              <w:jc w:val="center"/>
            </w:pPr>
            <w:r>
              <w:rPr>
                <w:rFonts w:ascii="Arial" w:cs="Arial" w:eastAsia="Arial" w:hAnsi="Arial"/>
                <w:b/>
                <w:bCs/>
                <w:color w:val="FFFFFF"/>
                <w:sz w:val="18"/>
                <w:szCs w:val="18"/>
              </w:rPr>
              <w:t xml:space="preserve">10GB Cost</w:t>
            </w:r>
          </w:p>
        </w:tc>
        <w:tc>
          <w:tcPr>
            <w:tcW w:type="dxa" w:w="1850"/>
            <w:tcBorders>
              <w:top w:val="single" w:color="CCCCCC" w:sz="4"/>
              <w:left w:val="single" w:color="CCCCCC" w:sz="4"/>
              <w:bottom w:val="single" w:color="CCCCCC" w:sz="4"/>
              <w:right w:val="single" w:color="CCCCCC" w:sz="4"/>
            </w:tcBorders>
            <w:shd w:fill="0D1B2A" w:val="clear"/>
            <w:tcMar>
              <w:top w:type="dxa" w:w="100"/>
              <w:left w:type="dxa" w:w="140"/>
              <w:bottom w:type="dxa" w:w="100"/>
              <w:right w:type="dxa" w:w="140"/>
            </w:tcMar>
          </w:tcPr>
          <w:p>
            <w:pPr>
              <w:jc w:val="center"/>
            </w:pPr>
            <w:r>
              <w:rPr>
                <w:rFonts w:ascii="Arial" w:cs="Arial" w:eastAsia="Arial" w:hAnsi="Arial"/>
                <w:b/>
                <w:bCs/>
                <w:color w:val="FFFFFF"/>
                <w:sz w:val="18"/>
                <w:szCs w:val="18"/>
              </w:rPr>
              <w:t xml:space="preserve">25GB Cost</w:t>
            </w:r>
          </w:p>
        </w:tc>
        <w:tc>
          <w:tcPr>
            <w:tcW w:type="dxa" w:w="2000"/>
            <w:tcBorders>
              <w:top w:val="single" w:color="CCCCCC" w:sz="4"/>
              <w:left w:val="single" w:color="CCCCCC" w:sz="4"/>
              <w:bottom w:val="single" w:color="CCCCCC" w:sz="4"/>
              <w:right w:val="single" w:color="CCCCCC" w:sz="4"/>
            </w:tcBorders>
            <w:shd w:fill="0D1B2A" w:val="clear"/>
            <w:tcMar>
              <w:top w:type="dxa" w:w="100"/>
              <w:left w:type="dxa" w:w="140"/>
              <w:bottom w:type="dxa" w:w="100"/>
              <w:right w:type="dxa" w:w="140"/>
            </w:tcMar>
          </w:tcPr>
          <w:p>
            <w:pPr>
              <w:jc w:val="center"/>
            </w:pPr>
            <w:r>
              <w:rPr>
                <w:rFonts w:ascii="Arial" w:cs="Arial" w:eastAsia="Arial" w:hAnsi="Arial"/>
                <w:b/>
                <w:bCs/>
                <w:color w:val="FFFFFF"/>
                <w:sz w:val="18"/>
                <w:szCs w:val="18"/>
              </w:rPr>
              <w:t xml:space="preserve">Call Rate</w:t>
            </w:r>
          </w:p>
        </w:tc>
      </w:tr>
      <w:tr>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0D1B2A"/>
                <w:sz w:val="18"/>
                <w:szCs w:val="18"/>
              </w:rPr>
              <w:t xml:space="preserve">MTN</w:t>
            </w:r>
          </w:p>
        </w:tc>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1A1A1A"/>
                <w:sz w:val="18"/>
                <w:szCs w:val="18"/>
              </w:rPr>
              <w:t xml:space="preserve">₦525</w:t>
            </w:r>
          </w:p>
        </w:tc>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1A1A1A"/>
                <w:sz w:val="18"/>
                <w:szCs w:val="18"/>
              </w:rPr>
              <w:t xml:space="preserve">₦5,250</w:t>
            </w:r>
          </w:p>
        </w:tc>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1A1A1A"/>
                <w:sz w:val="18"/>
                <w:szCs w:val="18"/>
              </w:rPr>
              <w:t xml:space="preserve">₦9,750</w:t>
            </w:r>
          </w:p>
        </w:tc>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1A1A1A"/>
                <w:sz w:val="18"/>
                <w:szCs w:val="18"/>
              </w:rPr>
              <w:t xml:space="preserve">25k/sec</w:t>
            </w:r>
          </w:p>
        </w:tc>
      </w:tr>
      <w:tr>
        <w:tc>
          <w:tcPr>
            <w:tcW w:type="dxa" w:w="185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center"/>
            </w:pPr>
            <w:r>
              <w:rPr>
                <w:rFonts w:ascii="Arial" w:cs="Arial" w:eastAsia="Arial" w:hAnsi="Arial"/>
                <w:color w:val="1A1A1A"/>
                <w:sz w:val="18"/>
                <w:szCs w:val="18"/>
              </w:rPr>
              <w:t xml:space="preserve">Airtel</w:t>
            </w:r>
          </w:p>
        </w:tc>
        <w:tc>
          <w:tcPr>
            <w:tcW w:type="dxa" w:w="185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center"/>
            </w:pPr>
            <w:r>
              <w:rPr>
                <w:rFonts w:ascii="Arial" w:cs="Arial" w:eastAsia="Arial" w:hAnsi="Arial"/>
                <w:color w:val="1A1A1A"/>
                <w:sz w:val="18"/>
                <w:szCs w:val="18"/>
              </w:rPr>
              <w:t xml:space="preserve">~₦522</w:t>
            </w:r>
          </w:p>
        </w:tc>
        <w:tc>
          <w:tcPr>
            <w:tcW w:type="dxa" w:w="185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center"/>
            </w:pPr>
            <w:r>
              <w:rPr>
                <w:rFonts w:ascii="Arial" w:cs="Arial" w:eastAsia="Arial" w:hAnsi="Arial"/>
                <w:color w:val="1A1A1A"/>
                <w:sz w:val="18"/>
                <w:szCs w:val="18"/>
              </w:rPr>
              <w:t xml:space="preserve">₦4,500 (10GB)</w:t>
            </w:r>
          </w:p>
        </w:tc>
        <w:tc>
          <w:tcPr>
            <w:tcW w:type="dxa" w:w="185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center"/>
            </w:pPr>
            <w:r>
              <w:rPr>
                <w:rFonts w:ascii="Arial" w:cs="Arial" w:eastAsia="Arial" w:hAnsi="Arial"/>
                <w:color w:val="1A1A1A"/>
                <w:sz w:val="18"/>
                <w:szCs w:val="18"/>
              </w:rPr>
              <w:t xml:space="preserve">₦9,000 (23GB)</w:t>
            </w:r>
          </w:p>
        </w:tc>
        <w:tc>
          <w:tcPr>
            <w:tcW w:type="dxa" w:w="185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center"/>
            </w:pPr>
            <w:r>
              <w:rPr>
                <w:rFonts w:ascii="Arial" w:cs="Arial" w:eastAsia="Arial" w:hAnsi="Arial"/>
                <w:color w:val="1A1A1A"/>
                <w:sz w:val="18"/>
                <w:szCs w:val="18"/>
              </w:rPr>
              <w:t xml:space="preserve">25k/sec</w:t>
            </w:r>
          </w:p>
        </w:tc>
      </w:tr>
      <w:tr>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1A1A1A"/>
                <w:sz w:val="18"/>
                <w:szCs w:val="18"/>
              </w:rPr>
              <w:t xml:space="preserve">Glo</w:t>
            </w:r>
          </w:p>
        </w:tc>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1A1A1A"/>
                <w:sz w:val="18"/>
                <w:szCs w:val="18"/>
              </w:rPr>
              <w:t xml:space="preserve">~₦417</w:t>
            </w:r>
          </w:p>
        </w:tc>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1A1A1A"/>
                <w:sz w:val="18"/>
                <w:szCs w:val="18"/>
              </w:rPr>
              <w:t xml:space="preserve">₦3,000 (10.8GB)</w:t>
            </w:r>
          </w:p>
        </w:tc>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1A1A1A"/>
                <w:sz w:val="18"/>
                <w:szCs w:val="18"/>
              </w:rPr>
              <w:t xml:space="preserve">₦7,500 (24GB)</w:t>
            </w:r>
          </w:p>
        </w:tc>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1A1A1A"/>
                <w:sz w:val="18"/>
                <w:szCs w:val="18"/>
              </w:rPr>
              <w:t xml:space="preserve">15.5k/sec*</w:t>
            </w:r>
          </w:p>
        </w:tc>
      </w:tr>
      <w:tr>
        <w:tc>
          <w:tcPr>
            <w:tcW w:type="dxa" w:w="185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center"/>
            </w:pPr>
            <w:r>
              <w:rPr>
                <w:rFonts w:ascii="Arial" w:cs="Arial" w:eastAsia="Arial" w:hAnsi="Arial"/>
                <w:color w:val="1A1A1A"/>
                <w:sz w:val="18"/>
                <w:szCs w:val="18"/>
              </w:rPr>
              <w:t xml:space="preserve">T2/9Mobile</w:t>
            </w:r>
          </w:p>
        </w:tc>
        <w:tc>
          <w:tcPr>
            <w:tcW w:type="dxa" w:w="185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center"/>
            </w:pPr>
            <w:r>
              <w:rPr>
                <w:rFonts w:ascii="Arial" w:cs="Arial" w:eastAsia="Arial" w:hAnsi="Arial"/>
                <w:color w:val="1A1A1A"/>
                <w:sz w:val="18"/>
                <w:szCs w:val="18"/>
              </w:rPr>
              <w:t xml:space="preserve">~₦455</w:t>
            </w:r>
          </w:p>
        </w:tc>
        <w:tc>
          <w:tcPr>
            <w:tcW w:type="dxa" w:w="185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center"/>
            </w:pPr>
            <w:r>
              <w:rPr>
                <w:rFonts w:ascii="Arial" w:cs="Arial" w:eastAsia="Arial" w:hAnsi="Arial"/>
                <w:color w:val="1A1A1A"/>
                <w:sz w:val="18"/>
                <w:szCs w:val="18"/>
              </w:rPr>
              <w:t xml:space="preserve">₦3,750 (9.5GB)</w:t>
            </w:r>
          </w:p>
        </w:tc>
        <w:tc>
          <w:tcPr>
            <w:tcW w:type="dxa" w:w="185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center"/>
            </w:pPr>
            <w:r>
              <w:rPr>
                <w:rFonts w:ascii="Arial" w:cs="Arial" w:eastAsia="Arial" w:hAnsi="Arial"/>
                <w:color w:val="1A1A1A"/>
                <w:sz w:val="18"/>
                <w:szCs w:val="18"/>
              </w:rPr>
              <w:t xml:space="preserve">₦7,500 (22GB)</w:t>
            </w:r>
          </w:p>
        </w:tc>
        <w:tc>
          <w:tcPr>
            <w:tcW w:type="dxa" w:w="185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center"/>
            </w:pPr>
            <w:r>
              <w:rPr>
                <w:rFonts w:ascii="Arial" w:cs="Arial" w:eastAsia="Arial" w:hAnsi="Arial"/>
                <w:color w:val="1A1A1A"/>
                <w:sz w:val="18"/>
                <w:szCs w:val="18"/>
              </w:rPr>
              <w:t xml:space="preserve">16.38k/sec*</w:t>
            </w:r>
          </w:p>
        </w:tc>
      </w:tr>
      <w:tr>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888888"/>
                <w:sz w:val="18"/>
                <w:szCs w:val="18"/>
              </w:rPr>
              <w:t xml:space="preserve">Pre-2025 MTN</w:t>
            </w:r>
          </w:p>
        </w:tc>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888888"/>
                <w:sz w:val="18"/>
                <w:szCs w:val="18"/>
              </w:rPr>
              <w:t xml:space="preserve">₦350</w:t>
            </w:r>
          </w:p>
        </w:tc>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888888"/>
                <w:sz w:val="18"/>
                <w:szCs w:val="18"/>
              </w:rPr>
              <w:t xml:space="preserve">₦3,500</w:t>
            </w:r>
          </w:p>
        </w:tc>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888888"/>
                <w:sz w:val="18"/>
                <w:szCs w:val="18"/>
              </w:rPr>
              <w:t xml:space="preserve">₦6,500</w:t>
            </w:r>
          </w:p>
        </w:tc>
        <w:tc>
          <w:tcPr>
            <w:tcW w:type="dxa" w:w="1850"/>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center"/>
            </w:pPr>
            <w:r>
              <w:rPr>
                <w:rFonts w:ascii="Arial" w:cs="Arial" w:eastAsia="Arial" w:hAnsi="Arial"/>
                <w:color w:val="888888"/>
                <w:sz w:val="18"/>
                <w:szCs w:val="18"/>
              </w:rPr>
              <w:t xml:space="preserve">N/A</w:t>
            </w:r>
          </w:p>
        </w:tc>
      </w:tr>
    </w:tbl>
    <w:p>
      <w:pPr>
        <w:spacing w:after="120" w:before="60"/>
      </w:pPr>
      <w:r>
        <w:rPr>
          <w:rFonts w:ascii="Arial" w:cs="Arial" w:eastAsia="Arial" w:hAnsi="Arial"/>
          <w:i/>
          <w:iCs/>
          <w:color w:val="6B7280"/>
          <w:sz w:val="16"/>
          <w:szCs w:val="16"/>
        </w:rPr>
        <w:t xml:space="preserve">*Glo and T2 rates apply after a daily access fee deduction. Pre-2025 row in grey for reference.</w:t>
      </w:r>
    </w:p>
    <w:p>
      <w:pPr>
        <w:pBdr>
          <w:left w:val="single" w:color="00B4A6" w:sz="24" w:space="12"/>
        </w:pBdr>
        <w:spacing w:after="180" w:before="180"/>
        <w:ind w:left="440" w:right="440"/>
      </w:pPr>
      <w:r>
        <w:rPr>
          <w:rFonts w:ascii="Georgia" w:cs="Georgia" w:eastAsia="Georgia" w:hAnsi="Georgia"/>
          <w:b/>
          <w:bCs/>
          <w:i/>
          <w:iCs/>
          <w:color w:val="0D1B2A"/>
          <w:sz w:val="27"/>
          <w:szCs w:val="27"/>
        </w:rPr>
        <w:t xml:space="preserve">“A 50% tariff hike imposed on consumers already absorbing 33% inflation is not a market adjustment — it is a compounding of economic pressure on the most financially exposed subscribers.”</w:t>
      </w:r>
    </w:p>
    <w:p>
      <w:pPr>
        <w:spacing w:after="80" w:before="80" w:line="340"/>
        <w:jc w:val="both"/>
      </w:pPr>
      <w:r>
        <w:rPr>
          <w:rFonts w:ascii="Georgia" w:cs="Georgia" w:eastAsia="Georgia" w:hAnsi="Georgia"/>
          <w:b w:val="false"/>
          <w:bCs w:val="false"/>
          <w:i w:val="false"/>
          <w:iCs w:val="false"/>
          <w:color w:val="1A1A1A"/>
          <w:sz w:val="22"/>
          <w:szCs w:val="22"/>
        </w:rPr>
        <w:t xml:space="preserve">On calls, the minimum per-minute charge rose to ₦9.6 following the NCC adjustment. The cheapest national plan — Glo’s Super Talk at 15.5 kobo per second — is subject to a ₦15 daily access fee that disproportionately raises the effective cost for low-frequency callers. A further flashpoint has emerged over USSD charges: operators now bill subscribers directly per USSD session — rather than through banks — adding a recurring micro-cost that hits unbanked and low-income Nigerians hardest, since USSD remains their primary gateway to mobile financial services.</w:t>
      </w:r>
    </w:p>
    <w:p>
      <w:pPr>
        <w:spacing w:after="0" w:before="120"/>
      </w:pPr>
      <w:r>
        <w:t xml:space="preserve"/>
      </w:r>
    </w:p>
    <w:p>
      <w:pPr>
        <w:shd w:fill="0D1B2A" w:val="clear"/>
        <w:spacing w:after="100" w:before="200"/>
        <w:ind w:left="140" w:right="140"/>
      </w:pPr>
      <w:r>
        <w:rPr>
          <w:rFonts w:ascii="Arial" w:cs="Arial" w:eastAsia="Arial" w:hAnsi="Arial"/>
          <w:b/>
          <w:bCs/>
          <w:color w:val="FFFFFF"/>
          <w:sz w:val="21"/>
          <w:szCs w:val="21"/>
        </w:rPr>
        <w:t xml:space="preserve">II.  QUALITY OF SERVICE: THE INFRASTRUCTURE CRISIS BEHIND THE NUMBERS</w:t>
      </w:r>
    </w:p>
    <w:p>
      <w:pPr>
        <w:spacing w:after="0" w:before="80"/>
      </w:pPr>
      <w:r>
        <w:t xml:space="preserve"/>
      </w:r>
    </w:p>
    <w:p>
      <w:pPr>
        <w:spacing w:after="80" w:before="80" w:line="340"/>
        <w:jc w:val="both"/>
      </w:pPr>
      <w:r>
        <w:rPr>
          <w:rFonts w:ascii="Georgia" w:cs="Georgia" w:eastAsia="Georgia" w:hAnsi="Georgia"/>
          <w:b w:val="false"/>
          <w:bCs w:val="false"/>
          <w:i w:val="false"/>
          <w:iCs w:val="false"/>
          <w:color w:val="1A1A1A"/>
          <w:sz w:val="22"/>
          <w:szCs w:val="22"/>
        </w:rPr>
        <w:t xml:space="preserve">The price increase would be easier to defend if it had been accompanied by a commensurate improvement in service quality. It has not. The NCC itself has admitted as much, acknowledging in a May 2026 statement “growing public dissatisfaction over poor network performance, including dropped calls, slow internet speeds, unstable data connections and service disruptions affecting businesses and daily communication.”</w:t>
      </w:r>
    </w:p>
    <w:p>
      <w:pPr>
        <w:spacing w:after="80" w:before="80" w:line="340"/>
        <w:jc w:val="both"/>
      </w:pPr>
      <w:r>
        <w:rPr>
          <w:rFonts w:ascii="Georgia" w:cs="Georgia" w:eastAsia="Georgia" w:hAnsi="Georgia"/>
          <w:b w:val="false"/>
          <w:bCs w:val="false"/>
          <w:i w:val="false"/>
          <w:iCs w:val="false"/>
          <w:color w:val="1A1A1A"/>
          <w:sz w:val="22"/>
          <w:szCs w:val="22"/>
        </w:rPr>
        <w:t xml:space="preserve">The most alarming single data point in the current quality-of-service crisis is the fibre optic cable situation: 27,000 fibre cut incidents were recorded nationwide in 2025 alone. The destruction continued into 2026: nearly 6,000 additional fibre cuts — an average of 500 per week — were recorded in Q1 alone, according to NCC uptime monitoring data. ALTON Chairman Gbenga Adebayo has described the cumulative impact with precision: “Daily fibre cuts, often caused by federal and state road construction contractors, are creating enormous economic losses, nationwide service disruptions, destruction of critical digital infrastructure, loss of assets without compensation, and interruptions to banking, education and security.”</w:t>
      </w:r>
    </w:p>
    <w:p>
      <w:pPr>
        <w:pBdr>
          <w:left w:val="single" w:color="00B4A6" w:sz="24" w:space="12"/>
        </w:pBdr>
        <w:spacing w:after="180" w:before="180"/>
        <w:ind w:left="440" w:right="440"/>
      </w:pPr>
      <w:r>
        <w:rPr>
          <w:rFonts w:ascii="Georgia" w:cs="Georgia" w:eastAsia="Georgia" w:hAnsi="Georgia"/>
          <w:b/>
          <w:bCs/>
          <w:i/>
          <w:iCs/>
          <w:color w:val="0D1B2A"/>
          <w:sz w:val="27"/>
          <w:szCs w:val="27"/>
        </w:rPr>
        <w:t xml:space="preserve">“500 fibre cuts per week in Q1 2026. No network can be upgraded fast enough to outpace destruction at that rate. Infrastructure protection is not a telecom sector problem — it is a national development emergency.”</w:t>
      </w:r>
    </w:p>
    <w:p>
      <w:pPr>
        <w:spacing w:after="80" w:before="80" w:line="340"/>
        <w:jc w:val="both"/>
      </w:pPr>
      <w:r>
        <w:rPr>
          <w:rFonts w:ascii="Georgia" w:cs="Georgia" w:eastAsia="Georgia" w:hAnsi="Georgia"/>
          <w:b w:val="false"/>
          <w:bCs w:val="false"/>
          <w:i w:val="false"/>
          <w:iCs w:val="false"/>
          <w:color w:val="1A1A1A"/>
          <w:sz w:val="22"/>
          <w:szCs w:val="22"/>
        </w:rPr>
        <w:t xml:space="preserve">Against this backdrop, the NCC’s Consumer Compensation Framework, which took effect in April 2026, represents a meaningful regulatory shift: operators must now automatically issue airtime credits to subscribers in areas where service falls below approved benchmarks. The regulator is separately preparing to impose ₦12.4 billion in fines on operators for repeated QoS violations. However, many consumers and businesses note that airtime credits cannot compensate for failed financial transactions, lost academic sessions, or business opportunities forfeited during outages.</w:t>
      </w:r>
    </w:p>
    <w:p>
      <w:pPr>
        <w:spacing w:after="80" w:before="80" w:line="340"/>
        <w:jc w:val="both"/>
      </w:pPr>
      <w:r>
        <w:rPr>
          <w:rFonts w:ascii="Georgia" w:cs="Georgia" w:eastAsia="Georgia" w:hAnsi="Georgia"/>
          <w:b w:val="false"/>
          <w:bCs w:val="false"/>
          <w:i w:val="false"/>
          <w:iCs w:val="false"/>
          <w:color w:val="1A1A1A"/>
          <w:sz w:val="22"/>
          <w:szCs w:val="22"/>
        </w:rPr>
        <w:t xml:space="preserve">Nigeria’s median mobile download speed reached 44.14 Mbps by December 2025, placing the country 85th globally in the Ookla Speedtest Index — down seven places from the prior year. The 4G network’s share of total usage jumped from 25 per cent in mid-2023 to 52 per cent by November 2025. Broadband penetration crossed 50 per cent for the first time. These are genuine improvements. Yet in a country where data consumption exceeded four billion gigabytes in Q1 2026 alone, network capacity is losing the race against demand.</w:t>
      </w:r>
    </w:p>
    <w:p>
      <w:pPr>
        <w:spacing w:after="0" w:before="80"/>
      </w:pPr>
      <w:r>
        <w:t xml:space="preserve"/>
      </w:r>
    </w:p>
    <w:p>
      <w:pPr>
        <w:spacing w:after="80" w:before="60"/>
      </w:pPr>
      <w:r>
        <w:rPr>
          <w:rFonts w:ascii="Arial" w:cs="Arial" w:eastAsia="Arial" w:hAnsi="Arial"/>
          <w:b/>
          <w:bCs/>
          <w:color w:val="0D1B2A"/>
          <w:sz w:val="19"/>
          <w:szCs w:val="19"/>
        </w:rPr>
        <w:t xml:space="preserve">TMN QoS SCORECARD — NIGERIA TELECOMS (2026)</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900"/>
        <w:gridCol w:w="6060"/>
      </w:tblGrid>
      <w:tr>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QoS Dimension</w:t>
            </w:r>
          </w:p>
        </w:tc>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Score</w:t>
            </w:r>
          </w:p>
        </w:tc>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Assessment</w:t>
            </w:r>
          </w:p>
        </w:tc>
      </w:tr>
      <w:tr>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Network Coverage</w:t>
            </w:r>
          </w:p>
        </w:tc>
        <w:tc>
          <w:tcPr>
            <w:tcW w:type="dxa" w:w="900"/>
            <w:tcBorders>
              <w:top w:val="single" w:color="CCCCCC" w:sz="4"/>
              <w:left w:val="single" w:color="CCCCCC" w:sz="4"/>
              <w:bottom w:val="single" w:color="CCCCCC" w:sz="4"/>
              <w:right w:val="single" w:color="CCCCCC" w:sz="4"/>
            </w:tcBorders>
            <w:shd w:fill="FFE5E5" w:val="clear"/>
            <w:tcMar>
              <w:top w:type="dxa" w:w="100"/>
              <w:left w:type="dxa" w:w="160"/>
              <w:bottom w:type="dxa" w:w="100"/>
              <w:right w:type="dxa" w:w="160"/>
            </w:tcMar>
          </w:tcPr>
          <w:p>
            <w:pPr>
              <w:jc w:val="center"/>
            </w:pPr>
            <w:r>
              <w:rPr>
                <w:rFonts w:ascii="Arial" w:cs="Arial" w:eastAsia="Arial" w:hAnsi="Arial"/>
                <w:b/>
                <w:bCs/>
                <w:color w:val="C0392B"/>
                <w:sz w:val="19"/>
                <w:szCs w:val="19"/>
              </w:rPr>
              <w:t xml:space="preserve">4/10</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4G at 52% share; 5G limited to 27 states; deep rural gaps persist</w:t>
            </w:r>
          </w:p>
        </w:tc>
      </w:tr>
      <w:tr>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Call Reliability</w:t>
            </w:r>
          </w:p>
        </w:tc>
        <w:tc>
          <w:tcPr>
            <w:tcW w:type="dxa" w:w="900"/>
            <w:tcBorders>
              <w:top w:val="single" w:color="CCCCCC" w:sz="4"/>
              <w:left w:val="single" w:color="CCCCCC" w:sz="4"/>
              <w:bottom w:val="single" w:color="CCCCCC" w:sz="4"/>
              <w:right w:val="single" w:color="CCCCCC" w:sz="4"/>
            </w:tcBorders>
            <w:shd w:fill="FFE5E5" w:val="clear"/>
            <w:tcMar>
              <w:top w:type="dxa" w:w="100"/>
              <w:left w:type="dxa" w:w="160"/>
              <w:bottom w:type="dxa" w:w="100"/>
              <w:right w:type="dxa" w:w="160"/>
            </w:tcMar>
          </w:tcPr>
          <w:p>
            <w:pPr>
              <w:jc w:val="center"/>
            </w:pPr>
            <w:r>
              <w:rPr>
                <w:rFonts w:ascii="Arial" w:cs="Arial" w:eastAsia="Arial" w:hAnsi="Arial"/>
                <w:b/>
                <w:bCs/>
                <w:color w:val="C0392B"/>
                <w:sz w:val="19"/>
                <w:szCs w:val="19"/>
              </w:rPr>
              <w:t xml:space="preserve">4/10</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Dropped calls endemic; no operator consistently meets NCC call completion threshold</w:t>
            </w:r>
          </w:p>
        </w:tc>
      </w:tr>
      <w:tr>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Data Speeds</w:t>
            </w:r>
          </w:p>
        </w:tc>
        <w:tc>
          <w:tcPr>
            <w:tcW w:type="dxa" w:w="900"/>
            <w:tcBorders>
              <w:top w:val="single" w:color="CCCCCC" w:sz="4"/>
              <w:left w:val="single" w:color="CCCCCC" w:sz="4"/>
              <w:bottom w:val="single" w:color="CCCCCC" w:sz="4"/>
              <w:right w:val="single" w:color="CCCCCC" w:sz="4"/>
            </w:tcBorders>
            <w:shd w:fill="FFF8E7" w:val="clear"/>
            <w:tcMar>
              <w:top w:type="dxa" w:w="100"/>
              <w:left w:type="dxa" w:w="160"/>
              <w:bottom w:type="dxa" w:w="100"/>
              <w:right w:type="dxa" w:w="160"/>
            </w:tcMar>
          </w:tcPr>
          <w:p>
            <w:pPr>
              <w:jc w:val="center"/>
            </w:pPr>
            <w:r>
              <w:rPr>
                <w:rFonts w:ascii="Arial" w:cs="Arial" w:eastAsia="Arial" w:hAnsi="Arial"/>
                <w:b/>
                <w:bCs/>
                <w:color w:val="E8A020"/>
                <w:sz w:val="19"/>
                <w:szCs w:val="19"/>
              </w:rPr>
              <w:t xml:space="preserve">6/10</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44.14 Mbps mobile median (Ookla Dec 2025); improved but volatile across locations</w:t>
            </w:r>
          </w:p>
        </w:tc>
      </w:tr>
      <w:tr>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Network Stability</w:t>
            </w:r>
          </w:p>
        </w:tc>
        <w:tc>
          <w:tcPr>
            <w:tcW w:type="dxa" w:w="900"/>
            <w:tcBorders>
              <w:top w:val="single" w:color="CCCCCC" w:sz="4"/>
              <w:left w:val="single" w:color="CCCCCC" w:sz="4"/>
              <w:bottom w:val="single" w:color="CCCCCC" w:sz="4"/>
              <w:right w:val="single" w:color="CCCCCC" w:sz="4"/>
            </w:tcBorders>
            <w:shd w:fill="FFE5E5" w:val="clear"/>
            <w:tcMar>
              <w:top w:type="dxa" w:w="100"/>
              <w:left w:type="dxa" w:w="160"/>
              <w:bottom w:type="dxa" w:w="100"/>
              <w:right w:type="dxa" w:w="160"/>
            </w:tcMar>
          </w:tcPr>
          <w:p>
            <w:pPr>
              <w:jc w:val="center"/>
            </w:pPr>
            <w:r>
              <w:rPr>
                <w:rFonts w:ascii="Arial" w:cs="Arial" w:eastAsia="Arial" w:hAnsi="Arial"/>
                <w:b/>
                <w:bCs/>
                <w:color w:val="C0392B"/>
                <w:sz w:val="19"/>
                <w:szCs w:val="19"/>
              </w:rPr>
              <w:t xml:space="preserve">4/10</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27,000 fibre cuts in 2025; 5,934 more in Q1 2026 alone; vandalism and excavation damage endemic</w:t>
            </w:r>
          </w:p>
        </w:tc>
      </w:tr>
      <w:tr>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Infrastructure Investment</w:t>
            </w:r>
          </w:p>
        </w:tc>
        <w:tc>
          <w:tcPr>
            <w:tcW w:type="dxa" w:w="900"/>
            <w:tcBorders>
              <w:top w:val="single" w:color="CCCCCC" w:sz="4"/>
              <w:left w:val="single" w:color="CCCCCC" w:sz="4"/>
              <w:bottom w:val="single" w:color="CCCCCC" w:sz="4"/>
              <w:right w:val="single" w:color="CCCCCC" w:sz="4"/>
            </w:tcBorders>
            <w:shd w:fill="E8F8F7" w:val="clear"/>
            <w:tcMar>
              <w:top w:type="dxa" w:w="100"/>
              <w:left w:type="dxa" w:w="160"/>
              <w:bottom w:type="dxa" w:w="100"/>
              <w:right w:type="dxa" w:w="160"/>
            </w:tcMar>
          </w:tcPr>
          <w:p>
            <w:pPr>
              <w:jc w:val="center"/>
            </w:pPr>
            <w:r>
              <w:rPr>
                <w:rFonts w:ascii="Arial" w:cs="Arial" w:eastAsia="Arial" w:hAnsi="Arial"/>
                <w:b/>
                <w:bCs/>
                <w:color w:val="00B4A6"/>
                <w:sz w:val="19"/>
                <w:szCs w:val="19"/>
              </w:rPr>
              <w:t xml:space="preserve">7/10</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₦2.13tn injected in 2025; 2,800 sites upgraded; 12,000 more planned in 2026; 730+ 5G sites across 27 states</w:t>
            </w:r>
          </w:p>
        </w:tc>
      </w:tr>
      <w:tr>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Regulatory Enforcement</w:t>
            </w:r>
          </w:p>
        </w:tc>
        <w:tc>
          <w:tcPr>
            <w:tcW w:type="dxa" w:w="900"/>
            <w:tcBorders>
              <w:top w:val="single" w:color="CCCCCC" w:sz="4"/>
              <w:left w:val="single" w:color="CCCCCC" w:sz="4"/>
              <w:bottom w:val="single" w:color="CCCCCC" w:sz="4"/>
              <w:right w:val="single" w:color="CCCCCC" w:sz="4"/>
            </w:tcBorders>
            <w:shd w:fill="FFF8E7" w:val="clear"/>
            <w:tcMar>
              <w:top w:type="dxa" w:w="100"/>
              <w:left w:type="dxa" w:w="160"/>
              <w:bottom w:type="dxa" w:w="100"/>
              <w:right w:type="dxa" w:w="160"/>
            </w:tcMar>
          </w:tcPr>
          <w:p>
            <w:pPr>
              <w:jc w:val="center"/>
            </w:pPr>
            <w:r>
              <w:rPr>
                <w:rFonts w:ascii="Arial" w:cs="Arial" w:eastAsia="Arial" w:hAnsi="Arial"/>
                <w:b/>
                <w:bCs/>
                <w:color w:val="E8A020"/>
                <w:sz w:val="19"/>
                <w:szCs w:val="19"/>
              </w:rPr>
              <w:t xml:space="preserve">5/10</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QoS Regulations 2024 gazetted; consumer compensation framework live from April 2026; ₦12.4bn fines pending</w:t>
            </w:r>
          </w:p>
        </w:tc>
      </w:tr>
      <w:tr>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Consumer Value</w:t>
            </w:r>
          </w:p>
        </w:tc>
        <w:tc>
          <w:tcPr>
            <w:tcW w:type="dxa" w:w="900"/>
            <w:tcBorders>
              <w:top w:val="single" w:color="CCCCCC" w:sz="4"/>
              <w:left w:val="single" w:color="CCCCCC" w:sz="4"/>
              <w:bottom w:val="single" w:color="CCCCCC" w:sz="4"/>
              <w:right w:val="single" w:color="CCCCCC" w:sz="4"/>
            </w:tcBorders>
            <w:shd w:fill="FFE5E5" w:val="clear"/>
            <w:tcMar>
              <w:top w:type="dxa" w:w="100"/>
              <w:left w:type="dxa" w:w="160"/>
              <w:bottom w:type="dxa" w:w="100"/>
              <w:right w:type="dxa" w:w="160"/>
            </w:tcMar>
          </w:tcPr>
          <w:p>
            <w:pPr>
              <w:jc w:val="center"/>
            </w:pPr>
            <w:r>
              <w:rPr>
                <w:rFonts w:ascii="Arial" w:cs="Arial" w:eastAsia="Arial" w:hAnsi="Arial"/>
                <w:b/>
                <w:bCs/>
                <w:color w:val="C0392B"/>
                <w:sz w:val="19"/>
                <w:szCs w:val="19"/>
              </w:rPr>
              <w:t xml:space="preserve">4/10</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50% tariff hike on inflation-battered consumers; USSD charges eroding financial inclusion gains</w:t>
            </w:r>
          </w:p>
        </w:tc>
      </w:tr>
      <w:tr>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OVERALL</w:t>
            </w:r>
          </w:p>
        </w:tc>
        <w:tc>
          <w:tcPr>
            <w:tcW w:type="dxa" w:w="900"/>
            <w:tcBorders>
              <w:top w:val="single" w:color="CCCCCC" w:sz="4"/>
              <w:left w:val="single" w:color="CCCCCC" w:sz="4"/>
              <w:bottom w:val="single" w:color="CCCCCC" w:sz="4"/>
              <w:right w:val="single" w:color="CCCCCC" w:sz="4"/>
            </w:tcBorders>
            <w:shd w:fill="FFE5E5" w:val="clear"/>
            <w:tcMar>
              <w:top w:type="dxa" w:w="100"/>
              <w:left w:type="dxa" w:w="160"/>
              <w:bottom w:type="dxa" w:w="100"/>
              <w:right w:type="dxa" w:w="160"/>
            </w:tcMar>
          </w:tcPr>
          <w:p>
            <w:pPr>
              <w:jc w:val="center"/>
            </w:pPr>
            <w:r>
              <w:rPr>
                <w:rFonts w:ascii="Arial" w:cs="Arial" w:eastAsia="Arial" w:hAnsi="Arial"/>
                <w:b/>
                <w:bCs/>
                <w:color w:val="C0392B"/>
                <w:sz w:val="19"/>
                <w:szCs w:val="19"/>
              </w:rPr>
              <w:t xml:space="preserve">4.9/10</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both"/>
            </w:pPr>
            <w:r>
              <w:rPr>
                <w:rFonts w:ascii="Georgia" w:cs="Georgia" w:eastAsia="Georgia" w:hAnsi="Georgia"/>
                <w:color w:val="1A1A1A"/>
                <w:sz w:val="18"/>
                <w:szCs w:val="18"/>
              </w:rPr>
              <w:t xml:space="preserve">Below acceptable threshold. Nigeria pays developing-world prices for below-standard quality.</w:t>
            </w:r>
          </w:p>
        </w:tc>
      </w:tr>
    </w:tbl>
    <w:p>
      <w:pPr>
        <w:spacing w:after="0" w:before="120"/>
      </w:pPr>
      <w:r>
        <w:t xml:space="preserve"/>
      </w:r>
    </w:p>
    <w:p>
      <w:pPr>
        <w:shd w:fill="0D1B2A" w:val="clear"/>
        <w:spacing w:after="100" w:before="200"/>
        <w:ind w:left="140" w:right="140"/>
      </w:pPr>
      <w:r>
        <w:rPr>
          <w:rFonts w:ascii="Arial" w:cs="Arial" w:eastAsia="Arial" w:hAnsi="Arial"/>
          <w:b/>
          <w:bCs/>
          <w:color w:val="FFFFFF"/>
          <w:sz w:val="21"/>
          <w:szCs w:val="21"/>
        </w:rPr>
        <w:t xml:space="preserve">III.  COMPARATIVE ANALYSIS: NIGERIA VS. DEVELOPING WORLD PEERS</w:t>
      </w:r>
    </w:p>
    <w:p>
      <w:pPr>
        <w:spacing w:after="0" w:before="80"/>
      </w:pPr>
      <w:r>
        <w:t xml:space="preserve"/>
      </w:r>
    </w:p>
    <w:p>
      <w:pPr>
        <w:spacing w:after="80" w:before="80" w:line="340"/>
        <w:jc w:val="both"/>
      </w:pPr>
      <w:r>
        <w:rPr>
          <w:rFonts w:ascii="Georgia" w:cs="Georgia" w:eastAsia="Georgia" w:hAnsi="Georgia"/>
          <w:b w:val="false"/>
          <w:bCs w:val="false"/>
          <w:i w:val="false"/>
          <w:iCs w:val="false"/>
          <w:color w:val="1A1A1A"/>
          <w:sz w:val="22"/>
          <w:szCs w:val="22"/>
        </w:rPr>
        <w:t xml:space="preserve">Placed in its peer group context, Nigeria’s telecoms performance presents a paradox: its data is among the cheapest in absolute dollar terms globally, yet quality of service lags significantly behind countries offering similar or higher prices. The explanation lies not in pricing architecture but in infrastructure depth, regulatory maturity, and market competition structure.</w:t>
      </w:r>
    </w:p>
    <w:p>
      <w:pPr>
        <w:spacing w:after="0" w:before="80"/>
      </w:pPr>
      <w:r>
        <w:t xml:space="preserve"/>
      </w:r>
    </w:p>
    <w:p>
      <w:pPr>
        <w:spacing w:after="80" w:before="60"/>
      </w:pPr>
      <w:r>
        <w:rPr>
          <w:rFonts w:ascii="Arial" w:cs="Arial" w:eastAsia="Arial" w:hAnsi="Arial"/>
          <w:b/>
          <w:bCs/>
          <w:color w:val="0D1B2A"/>
          <w:sz w:val="19"/>
          <w:szCs w:val="19"/>
        </w:rPr>
        <w:t xml:space="preserve">GLOBAL PEER COMPARISON — RATES, SPEED &amp; QUALITY OF SERVICE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1800"/>
        <w:gridCol w:w="1800"/>
        <w:gridCol w:w="1800"/>
        <w:gridCol w:w="1960"/>
      </w:tblGrid>
      <w:tr>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Country</w:t>
            </w:r>
          </w:p>
        </w:tc>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1GB Price</w:t>
            </w:r>
          </w:p>
        </w:tc>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Call Rate/Min</w:t>
            </w:r>
          </w:p>
        </w:tc>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Avg Speed</w:t>
            </w:r>
          </w:p>
        </w:tc>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QoS Rating</w:t>
            </w:r>
          </w:p>
        </w:tc>
      </w:tr>
      <w:tr>
        <w:tc>
          <w:tcPr>
            <w:tcBorders>
              <w:top w:val="single" w:color="CCCCCC" w:sz="4"/>
              <w:left w:val="single" w:color="CCCCCC" w:sz="4"/>
              <w:bottom w:val="single" w:color="CCCCCC" w:sz="4"/>
              <w:right w:val="single" w:color="CCCCCC" w:sz="4"/>
            </w:tcBorders>
            <w:shd w:fill="FFF8E7" w:val="clear"/>
            <w:tcMar>
              <w:top w:type="dxa" w:w="100"/>
              <w:left w:type="dxa" w:w="160"/>
              <w:bottom w:type="dxa" w:w="100"/>
              <w:right w:type="dxa" w:w="160"/>
            </w:tcMar>
          </w:tcPr>
          <w:p>
            <w:pPr>
              <w:jc w:val="center"/>
            </w:pPr>
            <w:r>
              <w:rPr>
                <w:rFonts w:ascii="Arial" w:cs="Arial" w:eastAsia="Arial" w:hAnsi="Arial"/>
                <w:b/>
                <w:bCs/>
                <w:color w:val="1A1A1A"/>
                <w:sz w:val="19"/>
                <w:szCs w:val="19"/>
              </w:rPr>
              <w:t xml:space="preserve">Nigeria</w:t>
            </w:r>
          </w:p>
        </w:tc>
        <w:tc>
          <w:tcPr>
            <w:tcBorders>
              <w:top w:val="single" w:color="CCCCCC" w:sz="4"/>
              <w:left w:val="single" w:color="CCCCCC" w:sz="4"/>
              <w:bottom w:val="single" w:color="CCCCCC" w:sz="4"/>
              <w:right w:val="single" w:color="CCCCCC" w:sz="4"/>
            </w:tcBorders>
            <w:shd w:fill="FFF8E7"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$0.13</w:t>
            </w:r>
          </w:p>
        </w:tc>
        <w:tc>
          <w:tcPr>
            <w:tcBorders>
              <w:top w:val="single" w:color="CCCCCC" w:sz="4"/>
              <w:left w:val="single" w:color="CCCCCC" w:sz="4"/>
              <w:bottom w:val="single" w:color="CCCCCC" w:sz="4"/>
              <w:right w:val="single" w:color="CCCCCC" w:sz="4"/>
            </w:tcBorders>
            <w:shd w:fill="FFF8E7"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~$0.02</w:t>
            </w:r>
          </w:p>
        </w:tc>
        <w:tc>
          <w:tcPr>
            <w:tcBorders>
              <w:top w:val="single" w:color="CCCCCC" w:sz="4"/>
              <w:left w:val="single" w:color="CCCCCC" w:sz="4"/>
              <w:bottom w:val="single" w:color="CCCCCC" w:sz="4"/>
              <w:right w:val="single" w:color="CCCCCC" w:sz="4"/>
            </w:tcBorders>
            <w:shd w:fill="FFF8E7"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44.1 Mbps</w:t>
            </w:r>
          </w:p>
        </w:tc>
        <w:tc>
          <w:tcPr>
            <w:tcBorders>
              <w:top w:val="single" w:color="CCCCCC" w:sz="4"/>
              <w:left w:val="single" w:color="CCCCCC" w:sz="4"/>
              <w:bottom w:val="single" w:color="CCCCCC" w:sz="4"/>
              <w:right w:val="single" w:color="CCCCCC" w:sz="4"/>
            </w:tcBorders>
            <w:shd w:fill="FFE5E5" w:val="clear"/>
            <w:tcMar>
              <w:top w:type="dxa" w:w="100"/>
              <w:left w:type="dxa" w:w="160"/>
              <w:bottom w:type="dxa" w:w="100"/>
              <w:right w:type="dxa" w:w="160"/>
            </w:tcMar>
          </w:tcPr>
          <w:p>
            <w:pPr>
              <w:jc w:val="center"/>
            </w:pPr>
            <w:r>
              <w:rPr>
                <w:rFonts w:ascii="Arial" w:cs="Arial" w:eastAsia="Arial" w:hAnsi="Arial"/>
                <w:b/>
                <w:bCs/>
                <w:color w:val="C0392B"/>
                <w:sz w:val="19"/>
                <w:szCs w:val="19"/>
              </w:rPr>
              <w:t xml:space="preserve">Poor</w:t>
            </w:r>
          </w:p>
        </w:tc>
      </w:tr>
      <w:tr>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India</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$0.09</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~$0.01</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~50 Mbps</w:t>
            </w:r>
          </w:p>
        </w:tc>
        <w:tc>
          <w:tcPr>
            <w:tcBorders>
              <w:top w:val="single" w:color="CCCCCC" w:sz="4"/>
              <w:left w:val="single" w:color="CCCCCC" w:sz="4"/>
              <w:bottom w:val="single" w:color="CCCCCC" w:sz="4"/>
              <w:right w:val="single" w:color="CCCCCC" w:sz="4"/>
            </w:tcBorders>
            <w:shd w:fill="E8F8F7" w:val="clear"/>
            <w:tcMar>
              <w:top w:type="dxa" w:w="100"/>
              <w:left w:type="dxa" w:w="160"/>
              <w:bottom w:type="dxa" w:w="100"/>
              <w:right w:type="dxa" w:w="160"/>
            </w:tcMar>
          </w:tcPr>
          <w:p>
            <w:pPr>
              <w:jc w:val="center"/>
            </w:pPr>
            <w:r>
              <w:rPr>
                <w:rFonts w:ascii="Arial" w:cs="Arial" w:eastAsia="Arial" w:hAnsi="Arial"/>
                <w:b/>
                <w:bCs/>
                <w:color w:val="00B4A6"/>
                <w:sz w:val="19"/>
                <w:szCs w:val="19"/>
              </w:rPr>
              <w:t xml:space="preserve">Good</w:t>
            </w:r>
          </w:p>
        </w:tc>
      </w:tr>
      <w:tr>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Ghana</w:t>
            </w:r>
          </w:p>
        </w:tc>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$0.08</w:t>
            </w:r>
          </w:p>
        </w:tc>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~$0.02</w:t>
            </w:r>
          </w:p>
        </w:tc>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~18 Mbps</w:t>
            </w:r>
          </w:p>
        </w:tc>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bCs/>
                <w:color w:val="1A1A1A"/>
                <w:sz w:val="19"/>
                <w:szCs w:val="19"/>
              </w:rPr>
              <w:t xml:space="preserve">Fair</w:t>
            </w:r>
          </w:p>
        </w:tc>
      </w:tr>
      <w:tr>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Kenya</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$0.59</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~$0.03</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45.4 Mbps</w:t>
            </w:r>
          </w:p>
        </w:tc>
        <w:tc>
          <w:tcPr>
            <w:tcBorders>
              <w:top w:val="single" w:color="CCCCCC" w:sz="4"/>
              <w:left w:val="single" w:color="CCCCCC" w:sz="4"/>
              <w:bottom w:val="single" w:color="CCCCCC" w:sz="4"/>
              <w:right w:val="single" w:color="CCCCCC" w:sz="4"/>
            </w:tcBorders>
            <w:shd w:fill="E8F8F7" w:val="clear"/>
            <w:tcMar>
              <w:top w:type="dxa" w:w="100"/>
              <w:left w:type="dxa" w:w="160"/>
              <w:bottom w:type="dxa" w:w="100"/>
              <w:right w:type="dxa" w:w="160"/>
            </w:tcMar>
          </w:tcPr>
          <w:p>
            <w:pPr>
              <w:jc w:val="center"/>
            </w:pPr>
            <w:r>
              <w:rPr>
                <w:rFonts w:ascii="Arial" w:cs="Arial" w:eastAsia="Arial" w:hAnsi="Arial"/>
                <w:b/>
                <w:bCs/>
                <w:color w:val="00B4A6"/>
                <w:sz w:val="19"/>
                <w:szCs w:val="19"/>
              </w:rPr>
              <w:t xml:space="preserve">Good</w:t>
            </w:r>
          </w:p>
        </w:tc>
      </w:tr>
      <w:tr>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South Africa</w:t>
            </w:r>
          </w:p>
        </w:tc>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$0.10</w:t>
            </w:r>
          </w:p>
        </w:tc>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~$0.04</w:t>
            </w:r>
          </w:p>
        </w:tc>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65.7 Mbps</w:t>
            </w:r>
          </w:p>
        </w:tc>
        <w:tc>
          <w:tcPr>
            <w:tcBorders>
              <w:top w:val="single" w:color="CCCCCC" w:sz="4"/>
              <w:left w:val="single" w:color="CCCCCC" w:sz="4"/>
              <w:bottom w:val="single" w:color="CCCCCC" w:sz="4"/>
              <w:right w:val="single" w:color="CCCCCC" w:sz="4"/>
            </w:tcBorders>
            <w:shd w:fill="E8F8F7" w:val="clear"/>
            <w:tcMar>
              <w:top w:type="dxa" w:w="100"/>
              <w:left w:type="dxa" w:w="160"/>
              <w:bottom w:type="dxa" w:w="100"/>
              <w:right w:type="dxa" w:w="160"/>
            </w:tcMar>
          </w:tcPr>
          <w:p>
            <w:pPr>
              <w:jc w:val="center"/>
            </w:pPr>
            <w:r>
              <w:rPr>
                <w:rFonts w:ascii="Arial" w:cs="Arial" w:eastAsia="Arial" w:hAnsi="Arial"/>
                <w:b/>
                <w:bCs/>
                <w:color w:val="00B4A6"/>
                <w:sz w:val="19"/>
                <w:szCs w:val="19"/>
              </w:rPr>
              <w:t xml:space="preserve">Excellent</w:t>
            </w:r>
          </w:p>
        </w:tc>
      </w:tr>
      <w:tr>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Brazil</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$0.38</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~$0.03</w:t>
            </w:r>
          </w:p>
        </w:tc>
        <w:tc>
          <w:tcPr>
            <w:tcBorders>
              <w:top w:val="single" w:color="CCCCCC" w:sz="4"/>
              <w:left w:val="single" w:color="CCCCCC" w:sz="4"/>
              <w:bottom w:val="single" w:color="CCCCCC" w:sz="4"/>
              <w:right w:val="single" w:color="CCCCCC" w:sz="4"/>
            </w:tcBorders>
            <w:shd w:fill="F4F6F8"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~60 Mbps</w:t>
            </w:r>
          </w:p>
        </w:tc>
        <w:tc>
          <w:tcPr>
            <w:tcBorders>
              <w:top w:val="single" w:color="CCCCCC" w:sz="4"/>
              <w:left w:val="single" w:color="CCCCCC" w:sz="4"/>
              <w:bottom w:val="single" w:color="CCCCCC" w:sz="4"/>
              <w:right w:val="single" w:color="CCCCCC" w:sz="4"/>
            </w:tcBorders>
            <w:shd w:fill="E8F8F7" w:val="clear"/>
            <w:tcMar>
              <w:top w:type="dxa" w:w="100"/>
              <w:left w:type="dxa" w:w="160"/>
              <w:bottom w:type="dxa" w:w="100"/>
              <w:right w:type="dxa" w:w="160"/>
            </w:tcMar>
          </w:tcPr>
          <w:p>
            <w:pPr>
              <w:jc w:val="center"/>
            </w:pPr>
            <w:r>
              <w:rPr>
                <w:rFonts w:ascii="Arial" w:cs="Arial" w:eastAsia="Arial" w:hAnsi="Arial"/>
                <w:b/>
                <w:bCs/>
                <w:color w:val="00B4A6"/>
                <w:sz w:val="19"/>
                <w:szCs w:val="19"/>
              </w:rPr>
              <w:t xml:space="preserve">Good</w:t>
            </w:r>
          </w:p>
        </w:tc>
      </w:tr>
      <w:tr>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Indonesia</w:t>
            </w:r>
          </w:p>
        </w:tc>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$0.30</w:t>
            </w:r>
          </w:p>
        </w:tc>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~$0.02</w:t>
            </w:r>
          </w:p>
        </w:tc>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val="false"/>
                <w:bCs w:val="false"/>
                <w:color w:val="1A1A1A"/>
                <w:sz w:val="19"/>
                <w:szCs w:val="19"/>
              </w:rPr>
              <w:t xml:space="preserve">~35 Mbps</w:t>
            </w:r>
          </w:p>
        </w:tc>
        <w:tc>
          <w:tcPr>
            <w:tcBorders>
              <w:top w:val="single" w:color="CCCCCC" w:sz="4"/>
              <w:left w:val="single" w:color="CCCCCC" w:sz="4"/>
              <w:bottom w:val="single" w:color="CCCCCC" w:sz="4"/>
              <w:right w:val="single" w:color="CCCCCC" w:sz="4"/>
            </w:tcBorders>
            <w:shd w:fill="FFFFFF" w:val="clear"/>
            <w:tcMar>
              <w:top w:type="dxa" w:w="100"/>
              <w:left w:type="dxa" w:w="160"/>
              <w:bottom w:type="dxa" w:w="100"/>
              <w:right w:type="dxa" w:w="160"/>
            </w:tcMar>
          </w:tcPr>
          <w:p>
            <w:pPr>
              <w:jc w:val="center"/>
            </w:pPr>
            <w:r>
              <w:rPr>
                <w:rFonts w:ascii="Arial" w:cs="Arial" w:eastAsia="Arial" w:hAnsi="Arial"/>
                <w:b/>
                <w:bCs/>
                <w:color w:val="1A1A1A"/>
                <w:sz w:val="19"/>
                <w:szCs w:val="19"/>
              </w:rPr>
              <w:t xml:space="preserve">Fair</w:t>
            </w:r>
          </w:p>
        </w:tc>
      </w:tr>
    </w:tbl>
    <w:p>
      <w:pPr>
        <w:spacing w:after="120" w:before="60"/>
      </w:pPr>
      <w:r>
        <w:rPr>
          <w:rFonts w:ascii="Arial" w:cs="Arial" w:eastAsia="Arial" w:hAnsi="Arial"/>
          <w:i/>
          <w:iCs/>
          <w:color w:val="6B7280"/>
          <w:sz w:val="16"/>
          <w:szCs w:val="16"/>
        </w:rPr>
        <w:t xml:space="preserve">Sources: Ookla Speedtest Global Index (Dec 2025); Cable.co.uk; Habari Network; GSMA. QoS ratings are TMN editorial assessments. Call rates are indicative.</w:t>
      </w:r>
    </w:p>
    <w:p>
      <w:pPr>
        <w:spacing w:after="80" w:before="80" w:line="340"/>
        <w:jc w:val="both"/>
      </w:pPr>
      <w:r>
        <w:rPr>
          <w:rFonts w:ascii="Georgia" w:cs="Georgia" w:eastAsia="Georgia" w:hAnsi="Georgia"/>
          <w:b w:val="false"/>
          <w:bCs w:val="false"/>
          <w:i w:val="false"/>
          <w:iCs w:val="false"/>
          <w:color w:val="1A1A1A"/>
          <w:sz w:val="22"/>
          <w:szCs w:val="22"/>
        </w:rPr>
        <w:t xml:space="preserve">India remains the global benchmark for the combination of data affordability and service quality improvement. The 2016 entry of Reliance Jio triggered a price war that slashed data costs from approximately $0.60 per GB to less than $0.10 — while simultaneously forcing all operators to accelerate 4G rollout. India’s median mobile download speed of approximately 50 Mbps at similarly low prices represents a calibre of consumer value that Nigeria’s market has not yet achieved. The Indian lesson is that quality and affordability are not mutually exclusive; they require competitive market intensity sustained by aggressive regulatory intervention.</w:t>
      </w:r>
    </w:p>
    <w:p>
      <w:pPr>
        <w:spacing w:after="80" w:before="80" w:line="340"/>
        <w:jc w:val="both"/>
      </w:pPr>
      <w:r>
        <w:rPr>
          <w:rFonts w:ascii="Georgia" w:cs="Georgia" w:eastAsia="Georgia" w:hAnsi="Georgia"/>
          <w:b w:val="false"/>
          <w:bCs w:val="false"/>
          <w:i w:val="false"/>
          <w:iCs w:val="false"/>
          <w:color w:val="1A1A1A"/>
          <w:sz w:val="22"/>
          <w:szCs w:val="22"/>
        </w:rPr>
        <w:t xml:space="preserve">South Africa leads Sub-Saharan Africa at 65.7 Mbps (64th globally) through its wholesale-only fibre model, which promotes competition and investment consistency. Kenya, ranked 80th with 45.37 Mbps, is Nigeria’s closest speed peer — yet at $0.59/GB, Safaricom extracts meaningfully better quality per naira equivalent of infrastructure spending. Ghana demonstrates the opposite cautionary case: at $0.08/GB — cheaper than Nigeria — its average speeds of approximately 18 Mbps show that cheap data without investment depth yields chronically poor quality.</w:t>
      </w:r>
    </w:p>
    <w:p>
      <w:pPr>
        <w:pBdr>
          <w:left w:val="single" w:color="00B4A6" w:sz="24" w:space="12"/>
        </w:pBdr>
        <w:spacing w:after="180" w:before="180"/>
        <w:ind w:left="440" w:right="440"/>
      </w:pPr>
      <w:r>
        <w:rPr>
          <w:rFonts w:ascii="Georgia" w:cs="Georgia" w:eastAsia="Georgia" w:hAnsi="Georgia"/>
          <w:b/>
          <w:bCs/>
          <w:i/>
          <w:iCs/>
          <w:color w:val="0D1B2A"/>
          <w:sz w:val="27"/>
          <w:szCs w:val="27"/>
        </w:rPr>
        <w:t xml:space="preserve">“Nigeria ranks 85th globally in internet speed — behind South Africa (64th) and Kenya (80th). It charges less per gigabyte than both. That the cheaper option delivers worse service is a regulatory and infrastructure failure, not a market outcome.”</w:t>
      </w:r>
    </w:p>
    <w:p>
      <w:pPr>
        <w:spacing w:after="0" w:before="120"/>
      </w:pPr>
      <w:r>
        <w:t xml:space="preserve"/>
      </w:r>
    </w:p>
    <w:p>
      <w:pPr>
        <w:shd w:fill="0D1B2A" w:val="clear"/>
        <w:spacing w:after="100" w:before="200"/>
        <w:ind w:left="140" w:right="140"/>
      </w:pPr>
      <w:r>
        <w:rPr>
          <w:rFonts w:ascii="Arial" w:cs="Arial" w:eastAsia="Arial" w:hAnsi="Arial"/>
          <w:b/>
          <w:bCs/>
          <w:color w:val="FFFFFF"/>
          <w:sz w:val="21"/>
          <w:szCs w:val="21"/>
        </w:rPr>
        <w:t xml:space="preserve">IV.  THE HUMAN TOLL: IMPACTS ON CITIZENS AND BUSINESSES</w:t>
      </w:r>
    </w:p>
    <w:p>
      <w:pPr>
        <w:spacing w:after="0" w:before="80"/>
      </w:pPr>
      <w:r>
        <w:t xml:space="preserve"/>
      </w:r>
    </w:p>
    <w:p>
      <w:pPr>
        <w:pBdr>
          <w:left w:val="single" w:color="E8A020" w:sz="18" w:space="12"/>
        </w:pBdr>
        <w:spacing w:after="80" w:before="80" w:line="340"/>
        <w:ind w:left="360" w:right="360"/>
        <w:jc w:val="both"/>
      </w:pPr>
      <w:r>
        <w:rPr>
          <w:rFonts w:ascii="Georgia" w:cs="Georgia" w:eastAsia="Georgia" w:hAnsi="Georgia"/>
          <w:i/>
          <w:iCs/>
          <w:color w:val="1A1A1A"/>
          <w:sz w:val="22"/>
          <w:szCs w:val="22"/>
        </w:rPr>
        <w:t xml:space="preserve">A business owner in Onitsha attempts to complete a critical bank transfer during peak market hours. The network freezes. The transaction fails. The window closes. A student in Kaduna joins a virtual class from the university’s open-access platform. The call drops eleven minutes in. A POS operator in Lagos watches a queue of customers grow as the network goes down for the third time that week — each failed transaction a lost commission. These are not exceptional events. In Nigeria in 2026, they are quotidian.</w:t>
      </w:r>
    </w:p>
    <w:p>
      <w:pPr>
        <w:spacing w:after="0" w:before="80"/>
      </w:pPr>
      <w:r>
        <w:t xml:space="preserve"/>
      </w:r>
    </w:p>
    <w:p>
      <w:pPr>
        <w:spacing w:after="80" w:before="80" w:line="340"/>
        <w:jc w:val="both"/>
      </w:pPr>
      <w:r>
        <w:rPr>
          <w:rFonts w:ascii="Georgia" w:cs="Georgia" w:eastAsia="Georgia" w:hAnsi="Georgia"/>
          <w:b w:val="false"/>
          <w:bCs w:val="false"/>
          <w:i w:val="false"/>
          <w:iCs w:val="false"/>
          <w:color w:val="1A1A1A"/>
          <w:sz w:val="22"/>
          <w:szCs w:val="22"/>
        </w:rPr>
        <w:t xml:space="preserve">Telecommunications has ceased to be a utility and become an economic foundation. In a country where digital payments reached ₦295.5 trillion in transaction value in Q1 2025 alone, and where fintech platforms including Moniepoint, OPay, PalmPay, and Flutterwave have displaced cash across informal markets, the reliability of the network is now inseparable from the reliability of commerce itself. When the network fails, the economy pauses. When it fails chronically, it costs.</w:t>
      </w:r>
    </w:p>
    <w:p>
      <w:pPr>
        <w:spacing w:after="80" w:before="80" w:line="340"/>
        <w:jc w:val="both"/>
      </w:pPr>
      <w:r>
        <w:rPr>
          <w:rFonts w:ascii="Georgia" w:cs="Georgia" w:eastAsia="Georgia" w:hAnsi="Georgia"/>
          <w:b w:val="false"/>
          <w:bCs w:val="false"/>
          <w:i w:val="false"/>
          <w:iCs w:val="false"/>
          <w:color w:val="1A1A1A"/>
          <w:sz w:val="22"/>
          <w:szCs w:val="22"/>
        </w:rPr>
        <w:t xml:space="preserve">The ALTON Chairman has put the operational consequences of fibre cuts in stark terms: banking is interrupted, education is disrupted, and security communications are compromised. These are not sector-specific grievances. They are systemic failures with economy-wide consequences. The informal economy — which accounts for an estimated 50 per cent or more of Nigeria’s economic activity — is uniquely exposed: market traders, artisans, transport workers, and small retailers who have migrated their payment systems to mobile money have no fallback when the network is unavailable.</w:t>
      </w:r>
    </w:p>
    <w:p>
      <w:pPr>
        <w:spacing w:after="0" w:before="80"/>
      </w:pPr>
      <w:r>
        <w:t xml:space="preserve"/>
      </w:r>
    </w:p>
    <w:p>
      <w:pPr>
        <w:spacing w:after="80" w:before="60"/>
      </w:pPr>
      <w:r>
        <w:rPr>
          <w:rFonts w:ascii="Arial" w:cs="Arial" w:eastAsia="Arial" w:hAnsi="Arial"/>
          <w:b/>
          <w:bCs/>
          <w:color w:val="0D1B2A"/>
          <w:sz w:val="19"/>
          <w:szCs w:val="19"/>
        </w:rPr>
        <w:t xml:space="preserve">IMPACT MATRIX — CITIZENS &amp; BUSINESSES BY SECTOR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580"/>
        <w:gridCol w:w="3580"/>
      </w:tblGrid>
      <w:tr>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Sector</w:t>
            </w:r>
          </w:p>
        </w:tc>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Citizen / Consumer Impact</w:t>
            </w:r>
          </w:p>
        </w:tc>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Business / Economic Impact</w:t>
            </w:r>
          </w:p>
        </w:tc>
      </w:tr>
      <w:tr>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Daily Life</w:t>
            </w:r>
          </w:p>
        </w:tc>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Dropped calls disrupt family communication; failed mobile transactions waste time and airtime</w:t>
            </w:r>
          </w:p>
        </w:tc>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SME transactions collapse mid-process; POS outages at market stalls and retail outlets force cash fallback</w:t>
            </w:r>
          </w:p>
        </w:tc>
      </w:tr>
      <w:tr>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Financial Inclusion</w:t>
            </w:r>
          </w:p>
        </w:tc>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USSD per-session charges price out low-income users; the unbanked pay more to access basic financial services</w:t>
            </w:r>
          </w:p>
        </w:tc>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Fintech platforms (OPay, Moniepoint, PalmPay) lose transaction completions during outages; ₦295.5tn digital payment volume at risk</w:t>
            </w:r>
          </w:p>
        </w:tc>
      </w:tr>
      <w:tr>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Education</w:t>
            </w:r>
          </w:p>
        </w:tc>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Students lose online classes mid-session; rural learners on 2G/3G effectively excluded from e-learning</w:t>
            </w:r>
          </w:p>
        </w:tc>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EdTech platforms suffer user churn; schools cannot implement digital curricula reliably outside cities</w:t>
            </w:r>
          </w:p>
        </w:tc>
      </w:tr>
      <w:tr>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Healthcare</w:t>
            </w:r>
          </w:p>
        </w:tc>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Telemedicine and digital health record access fail in rural areas with weak coverage</w:t>
            </w:r>
          </w:p>
        </w:tc>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Hospital billing systems, digital prescriptions, and insurance portals experience outage-driven delays</w:t>
            </w:r>
          </w:p>
        </w:tc>
      </w:tr>
      <w:tr>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Security &amp; Governance</w:t>
            </w:r>
          </w:p>
        </w:tc>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Emergency calls fail in dead zones; citizens cannot reach crisis lines or report crimes reliably</w:t>
            </w:r>
          </w:p>
        </w:tc>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Government's USSD-based social intervention programmes (e.g. conditional cash transfers) interrupted by network failures</w:t>
            </w:r>
          </w:p>
        </w:tc>
      </w:tr>
      <w:tr>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Informal Economy</w:t>
            </w:r>
          </w:p>
        </w:tc>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Market traders, artisans, and transport workers lose mobile money access during outages</w:t>
            </w:r>
          </w:p>
        </w:tc>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Informal sector GDP contribution — estimated at over 50% of economic activity — directly exposed to connectivity gaps</w:t>
            </w:r>
          </w:p>
        </w:tc>
      </w:tr>
    </w:tbl>
    <w:p>
      <w:pPr>
        <w:spacing w:after="120" w:before="60"/>
      </w:pPr>
      <w:r>
        <w:rPr>
          <w:rFonts w:ascii="Arial" w:cs="Arial" w:eastAsia="Arial" w:hAnsi="Arial"/>
          <w:i/>
          <w:iCs/>
          <w:color w:val="6B7280"/>
          <w:sz w:val="16"/>
          <w:szCs w:val="16"/>
        </w:rPr>
        <w:t xml:space="preserve">TMN editorial assessment based on NCC reports, ALTON statements, CBN data and field reporting. May 2026.</w:t>
      </w:r>
    </w:p>
    <w:p>
      <w:pPr>
        <w:spacing w:after="80" w:before="80" w:line="340"/>
        <w:jc w:val="both"/>
      </w:pPr>
      <w:r>
        <w:rPr>
          <w:rFonts w:ascii="Georgia" w:cs="Georgia" w:eastAsia="Georgia" w:hAnsi="Georgia"/>
          <w:b w:val="false"/>
          <w:bCs w:val="false"/>
          <w:i w:val="false"/>
          <w:iCs w:val="false"/>
          <w:color w:val="1A1A1A"/>
          <w:sz w:val="22"/>
          <w:szCs w:val="22"/>
        </w:rPr>
        <w:t xml:space="preserve">The financial inclusion dimension is particularly critical. USSD — the protocol that enables banking transactions on basic phones without internet access — remains the primary digital financial gateway for millions of low-income Nigerians. The shift to subscriber-direct USSD billing introduced in 2025 has imposed per-session charges that accumulate rapidly for heavy users. As BusinessDay’s analysis noted, “For low-income Nigerians and those without smartphones or mobile apps, USSD remains the most accessible gateway to financial services. Even modest per-session charges can quickly add up.” Nigeria risks excluding the very people digital finance was designed to empower.</w:t>
      </w:r>
    </w:p>
    <w:p>
      <w:pPr>
        <w:spacing w:after="80" w:before="80" w:line="340"/>
        <w:jc w:val="both"/>
      </w:pPr>
      <w:r>
        <w:rPr>
          <w:rFonts w:ascii="Georgia" w:cs="Georgia" w:eastAsia="Georgia" w:hAnsi="Georgia"/>
          <w:b w:val="false"/>
          <w:bCs w:val="false"/>
          <w:i w:val="false"/>
          <w:iCs w:val="false"/>
          <w:color w:val="1A1A1A"/>
          <w:sz w:val="22"/>
          <w:szCs w:val="22"/>
        </w:rPr>
        <w:t xml:space="preserve">For businesses operating at scale, the impact calculus shifts from inconvenience to systemic risk. Nigeria’s rapidly growing fintech sector — with Moniepoint now operating POS terminals in virtually every Lagos and Abuja commercial premises and Flutterwave processing cross-border payments — runs on network stability that the current infrastructure cannot reliably guarantee. The September 2025 FirstBank USSD and mobile banking outage that disrupted millions of transactions demonstrated that the vulnerability is not limited to the network layer: the entire digital financial stack depends on the telecoms foundation being stable.</w:t>
      </w:r>
    </w:p>
    <w:p>
      <w:pPr>
        <w:pBdr>
          <w:left w:val="single" w:color="00B4A6" w:sz="24" w:space="12"/>
        </w:pBdr>
        <w:spacing w:after="180" w:before="180"/>
        <w:ind w:left="440" w:right="440"/>
      </w:pPr>
      <w:r>
        <w:rPr>
          <w:rFonts w:ascii="Georgia" w:cs="Georgia" w:eastAsia="Georgia" w:hAnsi="Georgia"/>
          <w:b/>
          <w:bCs/>
          <w:i/>
          <w:iCs/>
          <w:color w:val="0D1B2A"/>
          <w:sz w:val="27"/>
          <w:szCs w:val="27"/>
        </w:rPr>
        <w:t xml:space="preserve">“Nigeria’s digital economy — fintech, e-commerce, e-learning, telemedicine, and e-governance — all sit on a single, fragile foundation. That foundation is a telecoms network experiencing 500 fibre cuts per week. The cost of continued inaction is not measured in dropped calls but in foregone GDP.”</w:t>
      </w:r>
    </w:p>
    <w:p>
      <w:pPr>
        <w:spacing w:after="80" w:before="80" w:line="340"/>
        <w:jc w:val="both"/>
      </w:pPr>
      <w:r>
        <w:rPr>
          <w:rFonts w:ascii="Georgia" w:cs="Georgia" w:eastAsia="Georgia" w:hAnsi="Georgia"/>
          <w:b w:val="false"/>
          <w:bCs w:val="false"/>
          <w:i w:val="false"/>
          <w:iCs w:val="false"/>
          <w:color w:val="1A1A1A"/>
          <w:sz w:val="22"/>
          <w:szCs w:val="22"/>
        </w:rPr>
        <w:t xml:space="preserve">The ICT sector contributed 7.67 per cent of Nigeria’s GDP in Q3 2025. That figure would be meaningfully higher if network downtime, infrastructure fragility, rural exclusion, and USSD access barriers were systematically addressed. Conversely, if the current trajectory continues unchecked — rising prices without commensurate quality, expanding data consumption outpacing infrastructure investment, and fibre cuts continuing at 2025–2026 rates — the ICT sector’s contribution to GDP growth could plateau well below its potential.</w:t>
      </w:r>
    </w:p>
    <w:p>
      <w:pPr>
        <w:spacing w:after="0" w:before="120"/>
      </w:pPr>
      <w:r>
        <w:t xml:space="preserve"/>
      </w:r>
    </w:p>
    <w:p>
      <w:pPr>
        <w:shd w:fill="0D1B2A" w:val="clear"/>
        <w:spacing w:after="100" w:before="200"/>
        <w:ind w:left="140" w:right="140"/>
      </w:pPr>
      <w:r>
        <w:rPr>
          <w:rFonts w:ascii="Arial" w:cs="Arial" w:eastAsia="Arial" w:hAnsi="Arial"/>
          <w:b/>
          <w:bCs/>
          <w:color w:val="FFFFFF"/>
          <w:sz w:val="21"/>
          <w:szCs w:val="21"/>
        </w:rPr>
        <w:t xml:space="preserve">V.  STRUCTURAL FACTORS: WHY QUALITY LAGS</w:t>
      </w:r>
    </w:p>
    <w:p>
      <w:pPr>
        <w:spacing w:after="0" w:before="80"/>
      </w:pPr>
      <w:r>
        <w:t xml:space="preserve"/>
      </w:r>
    </w:p>
    <w:p>
      <w:pPr>
        <w:spacing w:after="80" w:before="80" w:line="340"/>
        <w:jc w:val="both"/>
      </w:pPr>
      <w:r>
        <w:rPr>
          <w:rFonts w:ascii="Georgia" w:cs="Georgia" w:eastAsia="Georgia" w:hAnsi="Georgia"/>
          <w:b w:val="false"/>
          <w:bCs w:val="false"/>
          <w:i w:val="false"/>
          <w:iCs w:val="false"/>
          <w:color w:val="1A1A1A"/>
          <w:sz w:val="22"/>
          <w:szCs w:val="22"/>
        </w:rPr>
        <w:t xml:space="preserve">The quality gap Nigeria faces is not primarily a function of investment quantum. The ₦2.13 trillion invested by operators in 2025 is substantial. The problem is structural, manifesting in four interconnected dimensions that investment alone cannot resolve.</w:t>
      </w:r>
    </w:p>
    <w:p>
      <w:pPr>
        <w:spacing w:after="80" w:before="80" w:line="340"/>
        <w:jc w:val="both"/>
      </w:pPr>
      <w:r>
        <w:rPr>
          <w:rFonts w:ascii="Georgia" w:cs="Georgia" w:eastAsia="Georgia" w:hAnsi="Georgia"/>
          <w:b w:val="false"/>
          <w:bCs w:val="false"/>
          <w:i w:val="false"/>
          <w:iCs w:val="false"/>
          <w:color w:val="1A1A1A"/>
          <w:sz w:val="22"/>
          <w:szCs w:val="22"/>
        </w:rPr>
        <w:t xml:space="preserve">Infrastructure vulnerability is the first. With 27,000 fibre cuts in 2025 and 5,934 in Q1 2026, the network’s physical backbone is being systematically undermined at a pace that investment cannot fully offset. Nigeria’s infrastructure protection framework is inadequate, and enforcement of right-of-way protections remains inconsistent across state governments.</w:t>
      </w:r>
    </w:p>
    <w:p>
      <w:pPr>
        <w:spacing w:after="80" w:before="80" w:line="340"/>
        <w:jc w:val="both"/>
      </w:pPr>
      <w:r>
        <w:rPr>
          <w:rFonts w:ascii="Georgia" w:cs="Georgia" w:eastAsia="Georgia" w:hAnsi="Georgia"/>
          <w:b w:val="false"/>
          <w:bCs w:val="false"/>
          <w:i w:val="false"/>
          <w:iCs w:val="false"/>
          <w:color w:val="1A1A1A"/>
          <w:sz w:val="22"/>
          <w:szCs w:val="22"/>
        </w:rPr>
        <w:t xml:space="preserve">The power supply crisis is the second. Nigeria’s chronic electricity deficit forces operators to power approximately 60 to 70 per cent of base stations on diesel generators, with diesel prices rising from ₦1,770 to ₦1,850 per litre in the latest period. This inflates operational costs, compresses the capital available for genuine network improvement, and contributes to base station failures during fuel supply disruptions. The sector also faces more than 50 taxes and levies across its operations, compounding financial pressure.</w:t>
      </w:r>
    </w:p>
    <w:p>
      <w:pPr>
        <w:spacing w:after="80" w:before="80" w:line="340"/>
        <w:jc w:val="both"/>
      </w:pPr>
      <w:r>
        <w:rPr>
          <w:rFonts w:ascii="Georgia" w:cs="Georgia" w:eastAsia="Georgia" w:hAnsi="Georgia"/>
          <w:b w:val="false"/>
          <w:bCs w:val="false"/>
          <w:i w:val="false"/>
          <w:iCs w:val="false"/>
          <w:color w:val="1A1A1A"/>
          <w:sz w:val="22"/>
          <w:szCs w:val="22"/>
        </w:rPr>
        <w:t xml:space="preserve">The right-of-way and permitting complexity is the third. The cost and administrative burden of obtaining permits to lay fibre or erect towers across 36 states and the FCT — each with independent approval processes — significantly slows infrastructure rollout. As the NCC’s proposed National Telecommunications Policy 2026 acknowledges, “Fibre cuts, vandalism, high energy costs, multiple taxation, permitting delays, and persistent gaps between urban and rural connectivity are national development issues.”</w:t>
      </w:r>
    </w:p>
    <w:p>
      <w:pPr>
        <w:spacing w:after="80" w:before="80" w:line="340"/>
        <w:jc w:val="both"/>
      </w:pPr>
      <w:r>
        <w:rPr>
          <w:rFonts w:ascii="Georgia" w:cs="Georgia" w:eastAsia="Georgia" w:hAnsi="Georgia"/>
          <w:b w:val="false"/>
          <w:bCs w:val="false"/>
          <w:i w:val="false"/>
          <w:iCs w:val="false"/>
          <w:color w:val="1A1A1A"/>
          <w:sz w:val="22"/>
          <w:szCs w:val="22"/>
        </w:rPr>
        <w:t xml:space="preserve">Market structure is the fourth. MTN and Airtel command a combined 87 per cent of data subscribers. Globacom’s subscriber base fell by nearly 64 per cent in 2025 to 15.8 million. Without credible competitive pressure across the full market, dominant operators have limited incentive to compete on quality rather than brand incumbency. India’s quality revolution was competitive-market driven. Nigeria’s will require deliberate regulatory intervention to replicate.</w:t>
      </w:r>
    </w:p>
    <w:p>
      <w:pPr>
        <w:spacing w:after="0" w:before="120"/>
      </w:pPr>
      <w:r>
        <w:t xml:space="preserve"/>
      </w:r>
    </w:p>
    <w:p>
      <w:pPr>
        <w:shd w:fill="0D1B2A" w:val="clear"/>
        <w:spacing w:after="100" w:before="200"/>
        <w:ind w:left="140" w:right="140"/>
      </w:pPr>
      <w:r>
        <w:rPr>
          <w:rFonts w:ascii="Arial" w:cs="Arial" w:eastAsia="Arial" w:hAnsi="Arial"/>
          <w:b/>
          <w:bCs/>
          <w:color w:val="FFFFFF"/>
          <w:sz w:val="21"/>
          <w:szCs w:val="21"/>
        </w:rPr>
        <w:t xml:space="preserve">VI.  ROOM FOR IMPROVEMENT: THE TRANSFORMATION ROADMAP</w:t>
      </w:r>
    </w:p>
    <w:p>
      <w:pPr>
        <w:spacing w:after="0" w:before="80"/>
      </w:pPr>
      <w:r>
        <w:t xml:space="preserve"/>
      </w:r>
    </w:p>
    <w:p>
      <w:pPr>
        <w:spacing w:after="80" w:before="80" w:line="340"/>
        <w:jc w:val="both"/>
      </w:pPr>
      <w:r>
        <w:rPr>
          <w:rFonts w:ascii="Georgia" w:cs="Georgia" w:eastAsia="Georgia" w:hAnsi="Georgia"/>
          <w:b w:val="false"/>
          <w:bCs w:val="false"/>
          <w:i w:val="false"/>
          <w:iCs w:val="false"/>
          <w:color w:val="1A1A1A"/>
          <w:sz w:val="22"/>
          <w:szCs w:val="22"/>
        </w:rPr>
        <w:t xml:space="preserve">The infrastructure investment trajectory, while insufficient, is accelerating. The NCC’s 2025–2030 Spectrum Roadmap targets near-universal 4G coverage and expanded 5G adoption by 2030, with the low-band spectrum allocation specifically designed to bring broadband to 23 million Nigerians in 87 currently unserved and underserved clusters. The proposed National Telecommunications Policy 2026 — the first comprehensive policy review in 26 years — addresses governance restructuring, competition rules, infrastructure sharing, spectrum efficiency, and tariff transparency. The government’s Project BRIDGE initiative targets nationwide fibre deployment to homes, businesses, schools, and public institutions. Power availability at telecom towers has improved from a national average of 99.3 per cent in January 2025 to 99.7 per cent currently.</w:t>
      </w:r>
    </w:p>
    <w:p>
      <w:pPr>
        <w:spacing w:after="80" w:before="80" w:line="340"/>
        <w:jc w:val="both"/>
      </w:pPr>
      <w:r>
        <w:rPr>
          <w:rFonts w:ascii="Georgia" w:cs="Georgia" w:eastAsia="Georgia" w:hAnsi="Georgia"/>
          <w:b w:val="false"/>
          <w:bCs w:val="false"/>
          <w:i w:val="false"/>
          <w:iCs w:val="false"/>
          <w:color w:val="1A1A1A"/>
          <w:sz w:val="22"/>
          <w:szCs w:val="22"/>
        </w:rPr>
        <w:t xml:space="preserve">These are genuine building blocks. But building blocks require architecture. The TMN Technology Desk has identified eight specific reforms, sequenced by urgency, that together constitute a credible transformation roadmap for Nigeria’s telecoms sector.</w:t>
      </w:r>
    </w:p>
    <w:p>
      <w:pPr>
        <w:spacing w:after="0" w:before="80"/>
      </w:pPr>
      <w:r>
        <w:t xml:space="preserve"/>
      </w:r>
    </w:p>
    <w:p>
      <w:pPr>
        <w:spacing w:after="80" w:before="60"/>
      </w:pPr>
      <w:r>
        <w:rPr>
          <w:rFonts w:ascii="Arial" w:cs="Arial" w:eastAsia="Arial" w:hAnsi="Arial"/>
          <w:b/>
          <w:bCs/>
          <w:color w:val="0D1B2A"/>
          <w:sz w:val="19"/>
          <w:szCs w:val="19"/>
        </w:rPr>
        <w:t xml:space="preserve">TMN REFORM ROADMAP — SEQUENCED BY URGENCY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6060"/>
        <w:gridCol w:w="1100"/>
      </w:tblGrid>
      <w:tr>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Reform Area</w:t>
            </w:r>
          </w:p>
        </w:tc>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Recommended Action</w:t>
            </w:r>
          </w:p>
        </w:tc>
        <w:tc>
          <w:tcPr>
            <w:tcBorders>
              <w:top w:val="single" w:color="CCCCCC" w:sz="4"/>
              <w:left w:val="single" w:color="CCCCCC" w:sz="4"/>
              <w:bottom w:val="single" w:color="CCCCCC" w:sz="4"/>
              <w:right w:val="single" w:color="CCCCCC" w:sz="4"/>
            </w:tcBorders>
            <w:shd w:fill="0D1B2A" w:val="clear"/>
            <w:tcMar>
              <w:top w:type="dxa" w:w="100"/>
              <w:left w:type="dxa" w:w="160"/>
              <w:bottom w:type="dxa" w:w="100"/>
              <w:right w:type="dxa" w:w="160"/>
            </w:tcMar>
          </w:tcPr>
          <w:p>
            <w:pPr>
              <w:jc w:val="center"/>
            </w:pPr>
            <w:r>
              <w:rPr>
                <w:rFonts w:ascii="Arial" w:cs="Arial" w:eastAsia="Arial" w:hAnsi="Arial"/>
                <w:b/>
                <w:bCs/>
                <w:color w:val="FFFFFF"/>
                <w:sz w:val="19"/>
                <w:szCs w:val="19"/>
              </w:rPr>
              <w:t xml:space="preserve">Timeline</w:t>
            </w:r>
          </w:p>
        </w:tc>
      </w:tr>
      <w:tr>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Fibre Protection</w:t>
            </w:r>
          </w:p>
        </w:tc>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Enact a Telecommunications Infrastructure Protection Act with mandatory excavation notification requirements (48hr minimum). Deploy real-time fibre monitoring sensors on critical backbone routes. Criminal penalties for deliberate vandalism, not just administrative fines.</w:t>
            </w:r>
          </w:p>
        </w:tc>
        <w:tc>
          <w:tcPr>
            <w:tcW w:type="dxa" w:w="1100"/>
            <w:tcBorders>
              <w:top w:val="single" w:color="CCCCCC" w:sz="4"/>
              <w:left w:val="single" w:color="CCCCCC" w:sz="4"/>
              <w:bottom w:val="single" w:color="CCCCCC" w:sz="4"/>
              <w:right w:val="single" w:color="CCCCCC" w:sz="4"/>
            </w:tcBorders>
            <w:shd w:fill="FFE5E5" w:val="clear"/>
            <w:tcMar>
              <w:top w:type="dxa" w:w="100"/>
              <w:left w:type="dxa" w:w="120"/>
              <w:bottom w:type="dxa" w:w="100"/>
              <w:right w:type="dxa" w:w="120"/>
            </w:tcMar>
          </w:tcPr>
          <w:p>
            <w:pPr>
              <w:jc w:val="center"/>
            </w:pPr>
            <w:r>
              <w:rPr>
                <w:rFonts w:ascii="Arial" w:cs="Arial" w:eastAsia="Arial" w:hAnsi="Arial"/>
                <w:b/>
                <w:bCs/>
                <w:color w:val="C0392B"/>
                <w:sz w:val="18"/>
                <w:szCs w:val="18"/>
              </w:rPr>
              <w:t xml:space="preserve">NOW</w:t>
            </w:r>
          </w:p>
        </w:tc>
      </w:tr>
      <w:tr>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Right-of-Way Harmonisation</w:t>
            </w:r>
          </w:p>
        </w:tc>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Implement the proposed one-stop permitting portal across all 36 states and the FCT. Cap RoW fees at a national standard. Mandate state compliance as a condition of federal infrastructure grants.</w:t>
            </w:r>
          </w:p>
        </w:tc>
        <w:tc>
          <w:tcPr>
            <w:tcW w:type="dxa" w:w="1100"/>
            <w:tcBorders>
              <w:top w:val="single" w:color="CCCCCC" w:sz="4"/>
              <w:left w:val="single" w:color="CCCCCC" w:sz="4"/>
              <w:bottom w:val="single" w:color="CCCCCC" w:sz="4"/>
              <w:right w:val="single" w:color="CCCCCC" w:sz="4"/>
            </w:tcBorders>
            <w:shd w:fill="FFF8E7" w:val="clear"/>
            <w:tcMar>
              <w:top w:type="dxa" w:w="100"/>
              <w:left w:type="dxa" w:w="120"/>
              <w:bottom w:type="dxa" w:w="100"/>
              <w:right w:type="dxa" w:w="120"/>
            </w:tcMar>
          </w:tcPr>
          <w:p>
            <w:pPr>
              <w:jc w:val="center"/>
            </w:pPr>
            <w:r>
              <w:rPr>
                <w:rFonts w:ascii="Arial" w:cs="Arial" w:eastAsia="Arial" w:hAnsi="Arial"/>
                <w:b/>
                <w:bCs/>
                <w:color w:val="E8A020"/>
                <w:sz w:val="18"/>
                <w:szCs w:val="18"/>
              </w:rPr>
              <w:t xml:space="preserve">2027</w:t>
            </w:r>
          </w:p>
        </w:tc>
      </w:tr>
      <w:tr>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Power Supply</w:t>
            </w:r>
          </w:p>
        </w:tc>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Extend the Rural Electrification Agency’s mandate to include dedicated grid connections for telecom sites in underserved areas. Fast-track solar hybrid power solutions for rural base stations to eliminate diesel dependency.</w:t>
            </w:r>
          </w:p>
        </w:tc>
        <w:tc>
          <w:tcPr>
            <w:tcW w:type="dxa" w:w="1100"/>
            <w:tcBorders>
              <w:top w:val="single" w:color="CCCCCC" w:sz="4"/>
              <w:left w:val="single" w:color="CCCCCC" w:sz="4"/>
              <w:bottom w:val="single" w:color="CCCCCC" w:sz="4"/>
              <w:right w:val="single" w:color="CCCCCC" w:sz="4"/>
            </w:tcBorders>
            <w:shd w:fill="FFF8E7" w:val="clear"/>
            <w:tcMar>
              <w:top w:type="dxa" w:w="100"/>
              <w:left w:type="dxa" w:w="120"/>
              <w:bottom w:type="dxa" w:w="100"/>
              <w:right w:type="dxa" w:w="120"/>
            </w:tcMar>
          </w:tcPr>
          <w:p>
            <w:pPr>
              <w:jc w:val="center"/>
            </w:pPr>
            <w:r>
              <w:rPr>
                <w:rFonts w:ascii="Arial" w:cs="Arial" w:eastAsia="Arial" w:hAnsi="Arial"/>
                <w:b/>
                <w:bCs/>
                <w:color w:val="E8A020"/>
                <w:sz w:val="18"/>
                <w:szCs w:val="18"/>
              </w:rPr>
              <w:t xml:space="preserve">2027</w:t>
            </w:r>
          </w:p>
        </w:tc>
      </w:tr>
      <w:tr>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Spectrum Reform</w:t>
            </w:r>
          </w:p>
        </w:tc>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Implement the 2025–2030 Spectrum Roadmap’s low-band spectrum allocation to bring 4G to 23 million underserved Nigerians. Prioritise 700MHz and 800MHz bands for rural coverage as proven in Kenya and South Africa.</w:t>
            </w:r>
          </w:p>
        </w:tc>
        <w:tc>
          <w:tcPr>
            <w:tcW w:type="dxa" w:w="1100"/>
            <w:tcBorders>
              <w:top w:val="single" w:color="CCCCCC" w:sz="4"/>
              <w:left w:val="single" w:color="CCCCCC" w:sz="4"/>
              <w:bottom w:val="single" w:color="CCCCCC" w:sz="4"/>
              <w:right w:val="single" w:color="CCCCCC" w:sz="4"/>
            </w:tcBorders>
            <w:shd w:fill="E8F8F7" w:val="clear"/>
            <w:tcMar>
              <w:top w:type="dxa" w:w="100"/>
              <w:left w:type="dxa" w:w="120"/>
              <w:bottom w:type="dxa" w:w="100"/>
              <w:right w:type="dxa" w:w="120"/>
            </w:tcMar>
          </w:tcPr>
          <w:p>
            <w:pPr>
              <w:jc w:val="center"/>
            </w:pPr>
            <w:r>
              <w:rPr>
                <w:rFonts w:ascii="Arial" w:cs="Arial" w:eastAsia="Arial" w:hAnsi="Arial"/>
                <w:b/>
                <w:bCs/>
                <w:color w:val="00B4A6"/>
                <w:sz w:val="18"/>
                <w:szCs w:val="18"/>
              </w:rPr>
              <w:t xml:space="preserve">2028+</w:t>
            </w:r>
          </w:p>
        </w:tc>
      </w:tr>
      <w:tr>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Infrastructure Sharing</w:t>
            </w:r>
          </w:p>
        </w:tc>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Mandate active infrastructure sharing between MTN and Airtel in rural corridors where commercial viability is low. Adopt the South African wholesale-open-access fibre model for inter-city backbone routes.</w:t>
            </w:r>
          </w:p>
        </w:tc>
        <w:tc>
          <w:tcPr>
            <w:tcW w:type="dxa" w:w="1100"/>
            <w:tcBorders>
              <w:top w:val="single" w:color="CCCCCC" w:sz="4"/>
              <w:left w:val="single" w:color="CCCCCC" w:sz="4"/>
              <w:bottom w:val="single" w:color="CCCCCC" w:sz="4"/>
              <w:right w:val="single" w:color="CCCCCC" w:sz="4"/>
            </w:tcBorders>
            <w:shd w:fill="FFF8E7" w:val="clear"/>
            <w:tcMar>
              <w:top w:type="dxa" w:w="100"/>
              <w:left w:type="dxa" w:w="120"/>
              <w:bottom w:type="dxa" w:w="100"/>
              <w:right w:type="dxa" w:w="120"/>
            </w:tcMar>
          </w:tcPr>
          <w:p>
            <w:pPr>
              <w:jc w:val="center"/>
            </w:pPr>
            <w:r>
              <w:rPr>
                <w:rFonts w:ascii="Arial" w:cs="Arial" w:eastAsia="Arial" w:hAnsi="Arial"/>
                <w:b/>
                <w:bCs/>
                <w:color w:val="E8A020"/>
                <w:sz w:val="18"/>
                <w:szCs w:val="18"/>
              </w:rPr>
              <w:t xml:space="preserve">2027</w:t>
            </w:r>
          </w:p>
        </w:tc>
      </w:tr>
      <w:tr>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USSD &amp; Financial Inclusion</w:t>
            </w:r>
          </w:p>
        </w:tc>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Negotiate a cap on USSD per-session charges in partnership with CBN and NCC. Introduce subsidised USSD access for social welfare programmes. Accelerate Project BRIDGE fibre-to-the-home rollout in low-income urban zones.</w:t>
            </w:r>
          </w:p>
        </w:tc>
        <w:tc>
          <w:tcPr>
            <w:tcW w:type="dxa" w:w="1100"/>
            <w:tcBorders>
              <w:top w:val="single" w:color="CCCCCC" w:sz="4"/>
              <w:left w:val="single" w:color="CCCCCC" w:sz="4"/>
              <w:bottom w:val="single" w:color="CCCCCC" w:sz="4"/>
              <w:right w:val="single" w:color="CCCCCC" w:sz="4"/>
            </w:tcBorders>
            <w:shd w:fill="FFE5E5" w:val="clear"/>
            <w:tcMar>
              <w:top w:type="dxa" w:w="100"/>
              <w:left w:type="dxa" w:w="120"/>
              <w:bottom w:type="dxa" w:w="100"/>
              <w:right w:type="dxa" w:w="120"/>
            </w:tcMar>
          </w:tcPr>
          <w:p>
            <w:pPr>
              <w:jc w:val="center"/>
            </w:pPr>
            <w:r>
              <w:rPr>
                <w:rFonts w:ascii="Arial" w:cs="Arial" w:eastAsia="Arial" w:hAnsi="Arial"/>
                <w:b/>
                <w:bCs/>
                <w:color w:val="C0392B"/>
                <w:sz w:val="18"/>
                <w:szCs w:val="18"/>
              </w:rPr>
              <w:t xml:space="preserve">NOW</w:t>
            </w:r>
          </w:p>
        </w:tc>
      </w:tr>
      <w:tr>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Tariff-QoS Linkage</w:t>
            </w:r>
          </w:p>
        </w:tc>
        <w:tc>
          <w:tcPr>
            <w:tcBorders>
              <w:top w:val="single" w:color="CCCCCC" w:sz="4"/>
              <w:left w:val="single" w:color="CCCCCC" w:sz="4"/>
              <w:bottom w:val="single" w:color="CCCCCC" w:sz="4"/>
              <w:right w:val="single" w:color="CCCCCC" w:sz="4"/>
            </w:tcBorders>
            <w:shd w:fill="F4F6F8"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Enact a mandatory Tariff-Quality Linkage Regulation: any future tariff increase must be pre-approved against a published quality improvement scorecard with 12-month reporting obligations. Subscribers must receive airtime compensation automatically when benchmarks are missed.</w:t>
            </w:r>
          </w:p>
        </w:tc>
        <w:tc>
          <w:tcPr>
            <w:tcW w:type="dxa" w:w="1100"/>
            <w:tcBorders>
              <w:top w:val="single" w:color="CCCCCC" w:sz="4"/>
              <w:left w:val="single" w:color="CCCCCC" w:sz="4"/>
              <w:bottom w:val="single" w:color="CCCCCC" w:sz="4"/>
              <w:right w:val="single" w:color="CCCCCC" w:sz="4"/>
            </w:tcBorders>
            <w:shd w:fill="FFE5E5" w:val="clear"/>
            <w:tcMar>
              <w:top w:type="dxa" w:w="100"/>
              <w:left w:type="dxa" w:w="120"/>
              <w:bottom w:type="dxa" w:w="100"/>
              <w:right w:type="dxa" w:w="120"/>
            </w:tcMar>
          </w:tcPr>
          <w:p>
            <w:pPr>
              <w:jc w:val="center"/>
            </w:pPr>
            <w:r>
              <w:rPr>
                <w:rFonts w:ascii="Arial" w:cs="Arial" w:eastAsia="Arial" w:hAnsi="Arial"/>
                <w:b/>
                <w:bCs/>
                <w:color w:val="C0392B"/>
                <w:sz w:val="18"/>
                <w:szCs w:val="18"/>
              </w:rPr>
              <w:t xml:space="preserve">NOW</w:t>
            </w:r>
          </w:p>
        </w:tc>
      </w:tr>
      <w:tr>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bCs/>
                <w:color w:val="1A1A1A"/>
                <w:sz w:val="18"/>
                <w:szCs w:val="18"/>
              </w:rPr>
              <w:t xml:space="preserve">Multiple Taxation</w:t>
            </w:r>
          </w:p>
        </w:tc>
        <w:tc>
          <w:tcPr>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tcPr>
          <w:p>
            <w:pPr>
              <w:jc w:val="both"/>
            </w:pPr>
            <w:r>
              <w:rPr>
                <w:rFonts w:ascii="Georgia" w:cs="Georgia" w:eastAsia="Georgia" w:hAnsi="Georgia"/>
                <w:b w:val="false"/>
                <w:bCs w:val="false"/>
                <w:color w:val="1A1A1A"/>
                <w:sz w:val="18"/>
                <w:szCs w:val="18"/>
              </w:rPr>
              <w:t xml:space="preserve">Reduce the 50+ levies imposed on the telecoms sector. Introduce a unified telecoms tax regime negotiated between the FIRS, state governments, and the NCC. Tax clarity reduces operating costs — and those savings should be passed to consumers.</w:t>
            </w:r>
          </w:p>
        </w:tc>
        <w:tc>
          <w:tcPr>
            <w:tcW w:type="dxa" w:w="1100"/>
            <w:tcBorders>
              <w:top w:val="single" w:color="CCCCCC" w:sz="4"/>
              <w:left w:val="single" w:color="CCCCCC" w:sz="4"/>
              <w:bottom w:val="single" w:color="CCCCCC" w:sz="4"/>
              <w:right w:val="single" w:color="CCCCCC" w:sz="4"/>
            </w:tcBorders>
            <w:shd w:fill="FFF8E7" w:val="clear"/>
            <w:tcMar>
              <w:top w:type="dxa" w:w="100"/>
              <w:left w:type="dxa" w:w="120"/>
              <w:bottom w:type="dxa" w:w="100"/>
              <w:right w:type="dxa" w:w="120"/>
            </w:tcMar>
          </w:tcPr>
          <w:p>
            <w:pPr>
              <w:jc w:val="center"/>
            </w:pPr>
            <w:r>
              <w:rPr>
                <w:rFonts w:ascii="Arial" w:cs="Arial" w:eastAsia="Arial" w:hAnsi="Arial"/>
                <w:b/>
                <w:bCs/>
                <w:color w:val="E8A020"/>
                <w:sz w:val="18"/>
                <w:szCs w:val="18"/>
              </w:rPr>
              <w:t xml:space="preserve">2027</w:t>
            </w:r>
          </w:p>
        </w:tc>
      </w:tr>
    </w:tbl>
    <w:p>
      <w:pPr>
        <w:spacing w:after="120" w:before="60"/>
      </w:pPr>
      <w:r>
        <w:rPr>
          <w:rFonts w:ascii="Arial" w:cs="Arial" w:eastAsia="Arial" w:hAnsi="Arial"/>
          <w:i/>
          <w:iCs/>
          <w:color w:val="6B7280"/>
          <w:sz w:val="16"/>
          <w:szCs w:val="16"/>
        </w:rPr>
        <w:t xml:space="preserve">NOW = Immediate 2026 action required. 2027 = Within next 18 months. 2028+ = Medium-term structural reform.</w:t>
      </w:r>
    </w:p>
    <w:p>
      <w:pPr>
        <w:spacing w:after="80" w:before="80" w:line="340"/>
        <w:jc w:val="both"/>
      </w:pPr>
      <w:r>
        <w:rPr>
          <w:rFonts w:ascii="Georgia" w:cs="Georgia" w:eastAsia="Georgia" w:hAnsi="Georgia"/>
          <w:b w:val="false"/>
          <w:bCs w:val="false"/>
          <w:i w:val="false"/>
          <w:iCs w:val="false"/>
          <w:color w:val="1A1A1A"/>
          <w:sz w:val="22"/>
          <w:szCs w:val="22"/>
        </w:rPr>
        <w:t xml:space="preserve">The Spectrum Roadmap’s prioritisation of low-band spectrum below 1GHz is technically sound: signals in this range travel longer distances and require fewer base stations, making rural coverage commercially viable in ways that higher-frequency bands cannot achieve. Kenya’s communications authority and South Africa’s ICASA have both demonstrated that harmonised spectrum policy materially accelerates rural broadband adoption. Nigeria must implement its roadmap with the same urgency with which those markets acted.</w:t>
      </w:r>
    </w:p>
    <w:p>
      <w:pPr>
        <w:spacing w:after="80" w:before="80" w:line="340"/>
        <w:jc w:val="both"/>
      </w:pPr>
      <w:r>
        <w:rPr>
          <w:rFonts w:ascii="Georgia" w:cs="Georgia" w:eastAsia="Georgia" w:hAnsi="Georgia"/>
          <w:b w:val="false"/>
          <w:bCs w:val="false"/>
          <w:i w:val="false"/>
          <w:iCs w:val="false"/>
          <w:color w:val="1A1A1A"/>
          <w:sz w:val="22"/>
          <w:szCs w:val="22"/>
        </w:rPr>
        <w:t xml:space="preserve">On infrastructure sharing, industry experts have consistently pointed to both active and passive sharing — masts, ducts, fibre, and radio equipment — as the most efficient path to expanding rural reach without duplication of capital expenditure. The NCC’s draft policy positions it toward mandating sharing arrangements in zones where commercial viability is insufficient for individual operators to invest alone. This model, if enforced, could bring connectivity to communities that no single operator would otherwise serve.</w:t>
      </w:r>
    </w:p>
    <w:p>
      <w:pPr>
        <w:spacing w:after="80" w:before="80" w:line="340"/>
        <w:jc w:val="both"/>
      </w:pPr>
      <w:r>
        <w:rPr>
          <w:rFonts w:ascii="Georgia" w:cs="Georgia" w:eastAsia="Georgia" w:hAnsi="Georgia"/>
          <w:b w:val="false"/>
          <w:bCs w:val="false"/>
          <w:i w:val="false"/>
          <w:iCs w:val="false"/>
          <w:color w:val="1A1A1A"/>
          <w:sz w:val="22"/>
          <w:szCs w:val="22"/>
        </w:rPr>
        <w:t xml:space="preserve">Perhaps the most important structural reform is the one that requires the least capital: the Tariff-QoS Linkage Regulation proposed in this assessment. The principle is simple but transformative — no operator should be permitted to charge higher prices for poorer service. Every future tariff adjustment must be preceded by a published quality improvement scorecard with enforceable twelve-month obligations. If operators meet those obligations, tariff sustainability is achieved. If they do not, automatic subscriber compensation and further regulatory sanctions apply. This creates the alignment of incentives that the current regulatory regime lacks: operators benefit financially from quality improvement, not merely from price increases.</w:t>
      </w:r>
    </w:p>
    <w:p>
      <w:pPr>
        <w:pBdr>
          <w:left w:val="single" w:color="00B4A6" w:sz="24" w:space="12"/>
        </w:pBdr>
        <w:spacing w:after="180" w:before="180"/>
        <w:ind w:left="440" w:right="440"/>
      </w:pPr>
      <w:r>
        <w:rPr>
          <w:rFonts w:ascii="Georgia" w:cs="Georgia" w:eastAsia="Georgia" w:hAnsi="Georgia"/>
          <w:b/>
          <w:bCs/>
          <w:i/>
          <w:iCs/>
          <w:color w:val="0D1B2A"/>
          <w:sz w:val="27"/>
          <w:szCs w:val="27"/>
        </w:rPr>
        <w:t xml:space="preserve">“The sector’s most important reform costs nothing to implement: make every future tariff increase conditional on measurable quality improvement. Align operator financial incentives with subscriber experience. Without that linkage, Nigeria will continue paying more and receiving less.”</w:t>
      </w:r>
    </w:p>
    <w:p>
      <w:pPr>
        <w:spacing w:after="0" w:before="120"/>
      </w:pPr>
      <w:r>
        <w:t xml:space="preserve"/>
      </w:r>
    </w:p>
    <w:p>
      <w:pPr>
        <w:shd w:fill="0D1B2A" w:val="clear"/>
        <w:spacing w:after="100" w:before="200"/>
        <w:ind w:left="140" w:right="140"/>
      </w:pPr>
      <w:r>
        <w:rPr>
          <w:rFonts w:ascii="Arial" w:cs="Arial" w:eastAsia="Arial" w:hAnsi="Arial"/>
          <w:b/>
          <w:bCs/>
          <w:color w:val="FFFFFF"/>
          <w:sz w:val="21"/>
          <w:szCs w:val="21"/>
        </w:rPr>
        <w:t xml:space="preserve">VII.  TMN ASSESSMENT: VERDICT AND FINAL OBSERVATION</w:t>
      </w:r>
    </w:p>
    <w:p>
      <w:pPr>
        <w:spacing w:after="0" w:before="80"/>
      </w:pPr>
      <w:r>
        <w:t xml:space="preserve"/>
      </w:r>
    </w:p>
    <w:p>
      <w:pPr>
        <w:spacing w:after="80" w:before="60"/>
      </w:pPr>
      <w:r>
        <w:rPr>
          <w:rFonts w:ascii="Arial" w:cs="Arial" w:eastAsia="Arial" w:hAnsi="Arial"/>
          <w:b/>
          <w:bCs/>
          <w:color w:val="0D1B2A"/>
          <w:sz w:val="20"/>
          <w:szCs w:val="20"/>
        </w:rPr>
        <w:t xml:space="preserve">OVERALL VERDICT</w:t>
      </w:r>
    </w:p>
    <w:p>
      <w:pPr>
        <w:spacing w:after="60" w:before="60"/>
        <w:jc w:val="both"/>
      </w:pPr>
      <w:r>
        <w:rPr>
          <w:b/>
          <w:bCs/>
          <w:color w:val="C0392B"/>
          <w:sz w:val="22"/>
          <w:szCs w:val="22"/>
        </w:rPr>
        <w:t xml:space="preserve">✘  </w:t>
      </w:r>
      <w:r>
        <w:rPr>
          <w:rFonts w:ascii="Arial" w:cs="Arial" w:eastAsia="Arial" w:hAnsi="Arial"/>
          <w:b/>
          <w:bCs/>
          <w:color w:val="1A1A1A"/>
          <w:sz w:val="22"/>
          <w:szCs w:val="22"/>
        </w:rPr>
        <w:t xml:space="preserve">On Tariff Justification: </w:t>
      </w:r>
      <w:r>
        <w:rPr>
          <w:rFonts w:ascii="Georgia" w:cs="Georgia" w:eastAsia="Georgia" w:hAnsi="Georgia"/>
          <w:color w:val="1A1A1A"/>
          <w:sz w:val="22"/>
          <w:szCs w:val="22"/>
        </w:rPr>
        <w:t xml:space="preserve">The 50% hike was structurally overdue but arrived without a credible, consumer-visible quality improvement roadmap. It represents a transfer of operator financial distress to subscribers who had no recourse.</w:t>
      </w:r>
    </w:p>
    <w:p>
      <w:pPr>
        <w:spacing w:after="60" w:before="60"/>
        <w:jc w:val="both"/>
      </w:pPr>
      <w:r>
        <w:rPr>
          <w:b/>
          <w:bCs/>
          <w:color w:val="C0392B"/>
          <w:sz w:val="22"/>
          <w:szCs w:val="22"/>
        </w:rPr>
        <w:t xml:space="preserve">✘  </w:t>
      </w:r>
      <w:r>
        <w:rPr>
          <w:rFonts w:ascii="Arial" w:cs="Arial" w:eastAsia="Arial" w:hAnsi="Arial"/>
          <w:b/>
          <w:bCs/>
          <w:color w:val="1A1A1A"/>
          <w:sz w:val="22"/>
          <w:szCs w:val="22"/>
        </w:rPr>
        <w:t xml:space="preserve">On Quality of Service: </w:t>
      </w:r>
      <w:r>
        <w:rPr>
          <w:rFonts w:ascii="Georgia" w:cs="Georgia" w:eastAsia="Georgia" w:hAnsi="Georgia"/>
          <w:color w:val="1A1A1A"/>
          <w:sz w:val="22"/>
          <w:szCs w:val="22"/>
        </w:rPr>
        <w:t xml:space="preserve">Nigeria’s QoS record is critically below acceptable standards. Dropped calls, 500 fibre cuts per week, slow data in congested urban centres, and rural exclusion represent a sustained failure of both operators and regulators.</w:t>
      </w:r>
    </w:p>
    <w:p>
      <w:pPr>
        <w:spacing w:after="60" w:before="60"/>
        <w:jc w:val="both"/>
      </w:pPr>
      <w:r>
        <w:rPr>
          <w:b/>
          <w:bCs/>
          <w:color w:val="C0392B"/>
          <w:sz w:val="22"/>
          <w:szCs w:val="22"/>
        </w:rPr>
        <w:t xml:space="preserve">✘  </w:t>
      </w:r>
      <w:r>
        <w:rPr>
          <w:rFonts w:ascii="Arial" w:cs="Arial" w:eastAsia="Arial" w:hAnsi="Arial"/>
          <w:b/>
          <w:bCs/>
          <w:color w:val="1A1A1A"/>
          <w:sz w:val="22"/>
          <w:szCs w:val="22"/>
        </w:rPr>
        <w:t xml:space="preserve">On Citizen and Business Impact: </w:t>
      </w:r>
      <w:r>
        <w:rPr>
          <w:rFonts w:ascii="Georgia" w:cs="Georgia" w:eastAsia="Georgia" w:hAnsi="Georgia"/>
          <w:color w:val="1A1A1A"/>
          <w:sz w:val="22"/>
          <w:szCs w:val="22"/>
        </w:rPr>
        <w:t xml:space="preserve">The economic and human cost of current service quality is substantial and underreported. From failed fintech transactions to disrupted education, from USSD exclusion to SME productivity losses, poor connectivity is a tax on Nigeria’s growth potential.</w:t>
      </w:r>
    </w:p>
    <w:p>
      <w:pPr>
        <w:spacing w:after="60" w:before="60"/>
        <w:jc w:val="both"/>
      </w:pPr>
      <w:r>
        <w:rPr>
          <w:b/>
          <w:bCs/>
          <w:color w:val="E8A020"/>
          <w:sz w:val="22"/>
          <w:szCs w:val="22"/>
        </w:rPr>
        <w:t xml:space="preserve">▲  </w:t>
      </w:r>
      <w:r>
        <w:rPr>
          <w:rFonts w:ascii="Arial" w:cs="Arial" w:eastAsia="Arial" w:hAnsi="Arial"/>
          <w:b/>
          <w:bCs/>
          <w:color w:val="1A1A1A"/>
          <w:sz w:val="22"/>
          <w:szCs w:val="22"/>
        </w:rPr>
        <w:t xml:space="preserve">On Infrastructure Direction: </w:t>
      </w:r>
      <w:r>
        <w:rPr>
          <w:rFonts w:ascii="Georgia" w:cs="Georgia" w:eastAsia="Georgia" w:hAnsi="Georgia"/>
          <w:color w:val="1A1A1A"/>
          <w:sz w:val="22"/>
          <w:szCs w:val="22"/>
        </w:rPr>
        <w:t xml:space="preserve">The investment trajectory is genuinely encouraging. ₦2.13tn in 2025, 12,000 sites planned for 2026, the NCC’s Spectrum Roadmap, and Project BRIDGE together constitute the most ambitious infrastructure programme the sector has seen.</w:t>
      </w:r>
    </w:p>
    <w:p>
      <w:pPr>
        <w:spacing w:after="60" w:before="60"/>
        <w:jc w:val="both"/>
      </w:pPr>
      <w:r>
        <w:rPr>
          <w:b/>
          <w:bCs/>
          <w:color w:val="E8A020"/>
          <w:sz w:val="22"/>
          <w:szCs w:val="22"/>
        </w:rPr>
        <w:t xml:space="preserve">▲  </w:t>
      </w:r>
      <w:r>
        <w:rPr>
          <w:rFonts w:ascii="Arial" w:cs="Arial" w:eastAsia="Arial" w:hAnsi="Arial"/>
          <w:b/>
          <w:bCs/>
          <w:color w:val="1A1A1A"/>
          <w:sz w:val="22"/>
          <w:szCs w:val="22"/>
        </w:rPr>
        <w:t xml:space="preserve">On Regulatory Posture: </w:t>
      </w:r>
      <w:r>
        <w:rPr>
          <w:rFonts w:ascii="Georgia" w:cs="Georgia" w:eastAsia="Georgia" w:hAnsi="Georgia"/>
          <w:color w:val="1A1A1A"/>
          <w:sz w:val="22"/>
          <w:szCs w:val="22"/>
        </w:rPr>
        <w:t xml:space="preserve">The NCC’s hardening enforcement stance — the Consumer Compensation Framework, ₦12.4bn in pending fines, the proposed NTP 2026 overhaul — signals a regulator finally ready to act. The question is whether implementation matches the intent.</w:t>
      </w:r>
    </w:p>
    <w:p>
      <w:pPr>
        <w:spacing w:after="60" w:before="60"/>
        <w:jc w:val="both"/>
      </w:pPr>
      <w:r>
        <w:rPr>
          <w:b/>
          <w:bCs/>
          <w:color w:val="00B4A6"/>
          <w:sz w:val="22"/>
          <w:szCs w:val="22"/>
        </w:rPr>
        <w:t xml:space="preserve">✔  </w:t>
      </w:r>
      <w:r>
        <w:rPr>
          <w:rFonts w:ascii="Arial" w:cs="Arial" w:eastAsia="Arial" w:hAnsi="Arial"/>
          <w:b/>
          <w:bCs/>
          <w:color w:val="1A1A1A"/>
          <w:sz w:val="22"/>
          <w:szCs w:val="22"/>
        </w:rPr>
        <w:t xml:space="preserve">On Reform Potential: </w:t>
      </w:r>
      <w:r>
        <w:rPr>
          <w:rFonts w:ascii="Georgia" w:cs="Georgia" w:eastAsia="Georgia" w:hAnsi="Georgia"/>
          <w:color w:val="1A1A1A"/>
          <w:sz w:val="22"/>
          <w:szCs w:val="22"/>
        </w:rPr>
        <w:t xml:space="preserve">Nigeria has the scale, the investment appetite, and the emerging regulatory architecture to transform its telecoms sector within five years. The 23 million underserved Nigerians identified in the Spectrum Roadmap represent not just a social obligation but a substantial economic opportunity.</w:t>
      </w:r>
    </w:p>
    <w:p>
      <w:pPr>
        <w:spacing w:after="0" w:before="100"/>
      </w:pPr>
      <w:r>
        <w:t xml:space="preserve"/>
      </w:r>
    </w:p>
    <w:p>
      <w:pPr>
        <w:spacing w:after="80" w:before="80" w:line="340"/>
        <w:jc w:val="both"/>
      </w:pPr>
      <w:r>
        <w:rPr>
          <w:rFonts w:ascii="Georgia" w:cs="Georgia" w:eastAsia="Georgia" w:hAnsi="Georgia"/>
          <w:b w:val="false"/>
          <w:bCs w:val="false"/>
          <w:i w:val="false"/>
          <w:iCs w:val="false"/>
          <w:color w:val="1A1A1A"/>
          <w:sz w:val="22"/>
          <w:szCs w:val="22"/>
        </w:rPr>
        <w:t xml:space="preserve">The ICT sector contributed 7.67 per cent of Nigeria’s GDP in Q3 2025. With credible reform, that figure could approach 10 to 12 per cent within a decade, embedding connectivity as a genuine engine of economic diversification alongside oil revenues. Without reform, Nigeria’s telecoms sector will remain what it is today: a sector of unrealised potential, collecting higher fees for services that fall short of what 172 million subscribers deserve and what Nigeria’s digital economy requires.</w:t>
      </w:r>
    </w:p>
    <w:p>
      <w:pPr>
        <w:spacing w:after="80" w:before="80" w:line="340"/>
        <w:jc w:val="both"/>
      </w:pPr>
      <w:r>
        <w:rPr>
          <w:rFonts w:ascii="Georgia" w:cs="Georgia" w:eastAsia="Georgia" w:hAnsi="Georgia"/>
          <w:b w:val="false"/>
          <w:bCs w:val="false"/>
          <w:i w:val="false"/>
          <w:iCs w:val="false"/>
          <w:color w:val="1A1A1A"/>
          <w:sz w:val="22"/>
          <w:szCs w:val="22"/>
        </w:rPr>
        <w:t xml:space="preserve">The subscriber in Onitsha waiting for a bank transfer to complete, the student in Kaduna whose class dropped mid-lecture, the POS operator in Lagos watching a queue grow — they are not peripheral users of an optional service. They are the digital economy. And the digital economy cannot afford 500 fibre cuts per week.</w:t>
      </w:r>
    </w:p>
    <w:p>
      <w:pPr>
        <w:spacing w:after="0" w:before="80"/>
      </w:pPr>
      <w:r>
        <w:t xml:space="preserve"/>
      </w:r>
    </w:p>
    <w:p>
      <w:pPr>
        <w:pBdr>
          <w:bottom w:val="single" w:color="E8A020" w:sz="10" w:space="1"/>
        </w:pBdr>
        <w:spacing w:after="140" w:before="60"/>
      </w:pPr>
      <w:r>
        <w:t xml:space="preserve"/>
      </w:r>
    </w:p>
    <w:p>
      <w:pPr>
        <w:spacing w:after="40" w:before="60"/>
      </w:pPr>
      <w:r>
        <w:rPr>
          <w:rFonts w:ascii="Arial" w:cs="Arial" w:eastAsia="Arial" w:hAnsi="Arial"/>
          <w:i/>
          <w:iCs/>
          <w:color w:val="6B7280"/>
          <w:sz w:val="16"/>
          <w:szCs w:val="16"/>
        </w:rPr>
        <w:t xml:space="preserve">SOURCES: Nigerian Communications Commission (NCC) • ALTON • Ookla Speedtest Global Index (Dec 2025) • nPerf • NCC 2025–2030 Spectrum Roadmap • NCC Draft NTP 2026 • TechCabal • BusinessDay • Blueprint Newspapers • Intelpoint • Habari Network • GSMA • Cable.co.uk • CBN Q1 2025 Payments Report</w:t>
      </w:r>
    </w:p>
    <w:p>
      <w:pPr>
        <w:spacing w:after="40" w:before="20"/>
      </w:pPr>
      <w:r>
        <w:rPr>
          <w:rFonts w:ascii="Arial" w:cs="Arial" w:eastAsia="Arial" w:hAnsi="Arial"/>
          <w:i/>
          <w:iCs/>
          <w:color w:val="6B7280"/>
          <w:sz w:val="16"/>
          <w:szCs w:val="16"/>
        </w:rPr>
        <w:t xml:space="preserve">© 2026 Thought Media Network. All assessments represent independent editorial analysis by the TMN Technology Desk.</w:t>
      </w:r>
    </w:p>
    <w:sectPr>
      <w:headerReference w:type="default" r:id="rId7"/>
      <w:footerReference w:type="default" r:id="rId8"/>
      <w:pgSz w:w="12240" w:h="15840" w:orient="portrait"/>
      <w:pgMar w:top="1080" w:right="1260" w:bottom="108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00B4A6" w:sz="6" w:space="6"/>
      </w:pBdr>
      <w:spacing w:before="80"/>
      <w:jc w:val="center"/>
    </w:pPr>
    <w:r>
      <w:rPr>
        <w:rFonts w:ascii="Arial" w:cs="Arial" w:eastAsia="Arial" w:hAnsi="Arial"/>
        <w:color w:val="6B7280"/>
        <w:sz w:val="16"/>
        <w:szCs w:val="16"/>
      </w:rPr>
      <w:t xml:space="preserve">TMN TECHNOLOGY DESK  •  NIGERIA TELECOMS SECTOR REPORT  •  May 30, 2026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shd w:fill="0D1B2A" w:val="clear"/>
      <w:spacing w:after="120" w:before="120"/>
      <w:ind w:left="180" w:right="180"/>
    </w:pPr>
    <w:r>
      <w:rPr>
        <w:rFonts w:ascii="Arial" w:cs="Arial" w:eastAsia="Arial" w:hAnsi="Arial"/>
        <w:b/>
        <w:bCs/>
        <w:color w:val="FFFFFF"/>
        <w:sz w:val="22"/>
        <w:szCs w:val="22"/>
      </w:rPr>
      <w:t xml:space="preserve">THOUGHT MEDIA NETWORK</w:t>
    </w:r>
    <w:r>
      <w:rPr>
        <w:rFonts w:ascii="Arial" w:cs="Arial" w:eastAsia="Arial" w:hAnsi="Arial"/>
        <w:color w:val="00B4A6"/>
        <w:sz w:val="20"/>
        <w:szCs w:val="20"/>
      </w:rPr>
      <w:t xml:space="preserve">   |   TECHNOLOGY &amp; ECONOMY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2026-05-30T19:13:01.521Z</dcterms:created>
  <dcterms:modified xsi:type="dcterms:W3CDTF">2026-05-30T19:13:01.531Z</dcterms:modified>
</cp:coreProperties>
</file>

<file path=docProps/custom.xml><?xml version="1.0" encoding="utf-8"?>
<Properties xmlns="http://schemas.openxmlformats.org/officeDocument/2006/custom-properties" xmlns:vt="http://schemas.openxmlformats.org/officeDocument/2006/docPropsVTypes"/>
</file>