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00"/>
      </w:pPr>
      <w:r>
        <w:t xml:space="preserve"/>
      </w:r>
    </w:p>
    <w:p>
      <w:pPr>
        <w:spacing w:after="80"/>
      </w:pPr>
      <w:r>
        <w:rPr>
          <w:rFonts w:ascii="Arial" w:cs="Arial" w:eastAsia="Arial" w:hAnsi="Arial"/>
          <w:b/>
          <w:bCs/>
          <w:color w:val="C0392B"/>
          <w:spacing w:val="100"/>
          <w:sz w:val="18"/>
          <w:szCs w:val="18"/>
        </w:rPr>
        <w:t xml:space="preserve">OP-ED  ·  NIGERIAN POLITICAL ECONOMY  ·  GOVERNANCE &amp; REFORM</w:t>
      </w:r>
    </w:p>
    <w:p>
      <w:pPr>
        <w:spacing w:before="60" w:after="100"/>
      </w:pPr>
      <w:r>
        <w:rPr>
          <w:rFonts w:ascii="Arial" w:cs="Arial" w:eastAsia="Arial" w:hAnsi="Arial"/>
          <w:b/>
          <w:bCs/>
          <w:color w:val="1A3557"/>
          <w:sz w:val="56"/>
          <w:szCs w:val="56"/>
        </w:rPr>
        <w:t xml:space="preserve">Re-Read Your Own Book,
Mr. President</w:t>
      </w:r>
    </w:p>
    <w:p>
      <w:pPr>
        <w:spacing w:before="0" w:after="200"/>
      </w:pPr>
      <w:r>
        <w:rPr>
          <w:rFonts w:ascii="Georgia" w:cs="Georgia" w:eastAsia="Georgia" w:hAnsi="Georgia"/>
          <w:i/>
          <w:iCs/>
          <w:color w:val="555555"/>
          <w:sz w:val="26"/>
          <w:szCs w:val="26"/>
        </w:rPr>
        <w:t xml:space="preserve">Bola Tinubu diagnosed financialism's war on the poor with surgical precision. Three years into his presidency, the patient is still bleeding — and the surgeon has changed sides.</w:t>
      </w:r>
    </w:p>
    <w:p>
      <w:pPr>
        <w:spacing w:after="60"/>
      </w:pPr>
      <w:r>
        <w:rPr>
          <w:rFonts w:ascii="Arial" w:cs="Arial" w:eastAsia="Arial" w:hAnsi="Arial"/>
          <w:b/>
          <w:bCs/>
          <w:color w:val="1A3557"/>
          <w:sz w:val="20"/>
          <w:szCs w:val="20"/>
        </w:rPr>
        <w:t xml:space="preserve">TMN Political Economy Desk</w:t>
      </w:r>
      <w:r>
        <w:rPr>
          <w:rFonts w:ascii="Arial" w:cs="Arial" w:eastAsia="Arial" w:hAnsi="Arial"/>
          <w:color w:val="888888"/>
          <w:sz w:val="18"/>
          <w:szCs w:val="18"/>
        </w:rPr>
        <w:t xml:space="preserve">  ·  Thought Media Network  ·  April 3, 2026</w:t>
      </w:r>
    </w:p>
    <w:p>
      <w:pPr>
        <w:pBdr>
          <w:bottom w:val="single" w:color="C0392B" w:sz="14" w:space="1"/>
        </w:pBdr>
        <w:spacing w:before="0" w:after="200"/>
      </w:pPr>
      <w:r>
        <w:t xml:space="preserve"/>
      </w:r>
    </w:p>
    <w:p>
      <w:pPr>
        <w:spacing w:before="160" w:after="180" w:line="360"/>
        <w:jc w:val="both"/>
      </w:pPr>
      <w:r>
        <w:rPr>
          <w:rFonts w:ascii="Arial" w:cs="Arial" w:eastAsia="Arial" w:hAnsi="Arial"/>
          <w:b/>
          <w:bCs/>
          <w:color w:val="C0392B"/>
          <w:sz w:val="80"/>
          <w:szCs w:val="80"/>
        </w:rPr>
        <w:t xml:space="preserve">T</w:t>
      </w:r>
      <w:r>
        <w:rPr>
          <w:rFonts w:ascii="Georgia" w:cs="Georgia" w:eastAsia="Georgia" w:hAnsi="Georgia"/>
          <w:color w:val="1A1A1A"/>
          <w:sz w:val="24"/>
          <w:szCs w:val="24"/>
        </w:rPr>
        <w:t xml:space="preserve">here is a peculiar kind of political torture in being governed by a man who already wrote the blueprint for your liberation. In 2012, Bola Ahmed Tinubu co-authored Financialism: Water from an Empty Well — a 442-page intellectual manifesto that laid out, with remarkable clarity, how financial orthodoxy systematically destroys the middle class, enslaves developing nations in debt, and makes the poor permanent collateral damage in the pursuit of speculative profit. The book was not a manifesto of the fringe. It was a serious work of political economy, praised by reviewers and cited as evidence of a political leader serious about ideas.</w:t>
      </w:r>
    </w:p>
    <w:p>
      <w:pPr>
        <w:spacing w:after="180" w:line="360"/>
        <w:jc w:val="both"/>
      </w:pPr>
      <w:r>
        <w:rPr>
          <w:rFonts w:ascii="Georgia" w:cs="Georgia" w:eastAsia="Georgia" w:hAnsi="Georgia"/>
          <w:color w:val="1A1A1A"/>
          <w:sz w:val="24"/>
          <w:szCs w:val="24"/>
        </w:rPr>
        <w:t xml:space="preserve">Three years into his presidency, the irony has curdled into something sharper than irony. It has become a wound. Nigeria's cost of living has reached its worst point in three decades. The naira has lost more than two-thirds of its pre-inauguration value. Debt servicing now consumes more of the federal budget than education and health combined. And the IMF — the very institution whose prescriptions Tinubu's book treated as instruments of peripheral economic subjugation — has commended his reforms enthusiastically.</w:t>
      </w:r>
    </w:p>
    <w:p>
      <w:pPr>
        <w:spacing w:after="180" w:line="360"/>
        <w:jc w:val="both"/>
      </w:pPr>
      <w:r>
        <w:rPr>
          <w:rFonts w:ascii="Georgia" w:cs="Georgia" w:eastAsia="Georgia" w:hAnsi="Georgia"/>
          <w:color w:val="1A1A1A"/>
          <w:sz w:val="24"/>
          <w:szCs w:val="24"/>
        </w:rPr>
        <w:t xml:space="preserve">The question this op-ed raises is not merely diagnostic. It is prescriptive. The contradiction between Tinubu's written philosophy and his enacted governance is not simply a historical curiosity. It is, in fact, a roadmap. If we take his book seriously as a statement of what good governance looks like, then it contains within it the very correctives his presidency urgently needs. The argument here is simple: the President should re-read his own book — and this time, govern by it.</w:t>
      </w:r>
    </w:p>
    <w:p>
      <w:pPr>
        <w:spacing w:after="80"/>
      </w:pPr>
      <w:r>
        <w:t xml:space="preserve"/>
      </w:r>
    </w:p>
    <w:p>
      <w:pPr>
        <w:spacing w:before="300" w:after="120"/>
      </w:pPr>
      <w:r>
        <w:rPr>
          <w:rFonts w:ascii="Arial" w:cs="Arial" w:eastAsia="Arial" w:hAnsi="Arial"/>
          <w:b/>
          <w:bCs/>
          <w:color w:val="C0392B"/>
          <w:sz w:val="28"/>
          <w:szCs w:val="28"/>
        </w:rPr>
        <w:t xml:space="preserve">I. </w:t>
      </w:r>
      <w:r>
        <w:rPr>
          <w:rFonts w:ascii="Arial" w:cs="Arial" w:eastAsia="Arial" w:hAnsi="Arial"/>
          <w:b/>
          <w:bCs/>
          <w:color w:val="1A3557"/>
          <w:sz w:val="28"/>
          <w:szCs w:val="28"/>
        </w:rPr>
        <w:t xml:space="preserve">The Book's Promise: What Tinubu Said He Believed</w:t>
      </w:r>
    </w:p>
    <w:p>
      <w:pPr>
        <w:spacing w:after="180" w:line="360"/>
        <w:jc w:val="both"/>
      </w:pPr>
      <w:r>
        <w:rPr>
          <w:rFonts w:ascii="Georgia" w:cs="Georgia" w:eastAsia="Georgia" w:hAnsi="Georgia"/>
          <w:color w:val="1A1A1A"/>
          <w:sz w:val="24"/>
          <w:szCs w:val="24"/>
        </w:rPr>
        <w:t xml:space="preserve">Financialism: Water from an Empty Well, co-authored with American diplomat Brian Browne, begins from a distinction that sounds simple but carries enormous weight. Money, the authors argue, is not wealth. It is the measure of wealth. Wealth is produced — through agriculture, manufacturing, innovation, labour. Financialism, the book's central villain, is the historical process by which this distinction collapses: by which the multiplication of money becomes the end goal of economic activity, severed entirely from the creation of goods, services, or livelihoods.</w:t>
      </w:r>
    </w:p>
    <w:p>
      <w:pPr>
        <w:spacing w:after="180" w:line="360"/>
        <w:jc w:val="both"/>
      </w:pPr>
      <w:r>
        <w:rPr>
          <w:rFonts w:ascii="Georgia" w:cs="Georgia" w:eastAsia="Georgia" w:hAnsi="Georgia"/>
          <w:color w:val="1A1A1A"/>
          <w:sz w:val="24"/>
          <w:szCs w:val="24"/>
        </w:rPr>
        <w:t xml:space="preserve">The consequences the book traces from this collapse are specific and damning. The middle class atrophies as wages stagnate and asset prices inflate. Debt — both personal and sovereign — becomes a tool of discipline, subordinating debtor governments to the preferences of creditor financial institutions. Democratic governance is hollowed out as financial elites capture regulatory and legislative processes. And developing economies, already structurally vulnerable, are subjected to the most brutal version of these dynamics through conditionality-laden lending that constrains their sovereign policy space precisely when that space is most needed.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single" w:color="B8860B" w:sz="24"/>
              <w:bottom w:val="none" w:color="FFFFFF" w:sz="0"/>
              <w:right w:val="none" w:color="FFFFFF" w:sz="0"/>
            </w:tcBorders>
            <w:shd w:fill="F0F4F8" w:val="clear"/>
            <w:tcMar>
              <w:top w:type="dxa" w:w="200"/>
              <w:left w:type="dxa" w:w="440"/>
              <w:bottom w:type="dxa" w:w="200"/>
              <w:right w:type="dxa" w:w="300"/>
            </w:tcMar>
          </w:tcPr>
          <w:p>
            <w:r>
              <w:rPr>
                <w:rFonts w:ascii="Georgia" w:cs="Georgia" w:eastAsia="Georgia" w:hAnsi="Georgia"/>
                <w:b/>
                <w:bCs/>
                <w:i/>
                <w:iCs/>
                <w:color w:val="1A3557"/>
                <w:sz w:val="30"/>
                <w:szCs w:val="30"/>
              </w:rPr>
              <w:t xml:space="preserve">“Wherever financialism takes root, the impetus towards production erodes. When production wanes, employment ebbs by necessity.”</w:t>
            </w:r>
          </w:p>
          <w:p>
            <w:pPr>
              <w:spacing w:before="80"/>
            </w:pPr>
            <w:r>
              <w:rPr>
                <w:rFonts w:ascii="Arial" w:cs="Arial" w:eastAsia="Arial" w:hAnsi="Arial"/>
                <w:color w:val="B8860B"/>
                <w:sz w:val="18"/>
                <w:szCs w:val="18"/>
              </w:rPr>
              <w:t xml:space="preserve">— Tinubu &amp; Browne, Financialism (2012), p.332</w:t>
            </w:r>
          </w:p>
        </w:tc>
      </w:tr>
    </w:tbl>
    <w:p>
      <w:pPr>
        <w:spacing w:after="80"/>
      </w:pPr>
      <w:r>
        <w:t xml:space="preserve"/>
      </w:r>
    </w:p>
    <w:p>
      <w:pPr>
        <w:spacing w:after="180" w:line="360"/>
        <w:jc w:val="both"/>
      </w:pPr>
      <w:r>
        <w:rPr>
          <w:rFonts w:ascii="Georgia" w:cs="Georgia" w:eastAsia="Georgia" w:hAnsi="Georgia"/>
          <w:color w:val="1A1A1A"/>
          <w:sz w:val="24"/>
          <w:szCs w:val="24"/>
        </w:rPr>
        <w:t xml:space="preserve">For Nigeria, the book was direct and programmatic. It called for a National Industrial Policy to protect emerging industries. It advocated massive investment in electrical power generation as the foundational precondition for industrialisation. It called for a pivot toward light manufacturing and commercial agriculture, including commodity exchange boards with guaranteed minimum prices for farmers. It demanded an educational reformation centred on technical skills. And on international financial institutions, it was unambiguous: structural adjustment orthodoxy — subsidy removal, currency liberalisation, fiscal austerity — serves global financial capital, not Nigerian citizens.</w:t>
      </w:r>
    </w:p>
    <w:p>
      <w:pPr>
        <w:spacing w:after="180" w:line="360"/>
        <w:jc w:val="both"/>
      </w:pPr>
      <w:r>
        <w:rPr>
          <w:rFonts w:ascii="Georgia" w:cs="Georgia" w:eastAsia="Georgia" w:hAnsi="Georgia"/>
          <w:color w:val="1A1A1A"/>
          <w:sz w:val="24"/>
          <w:szCs w:val="24"/>
        </w:rPr>
        <w:t xml:space="preserve">This was not political poetry. It was governance doctrine, stated in public, attached to a man's name and reputation. It constituted, in effect, a binding intellectual commitment.</w:t>
      </w:r>
    </w:p>
    <w:p>
      <w:pPr>
        <w:spacing w:after="80"/>
      </w:pPr>
      <w:r>
        <w:t xml:space="preserve"/>
      </w:r>
    </w:p>
    <w:p>
      <w:pPr>
        <w:spacing w:before="300" w:after="120"/>
      </w:pPr>
      <w:r>
        <w:rPr>
          <w:rFonts w:ascii="Arial" w:cs="Arial" w:eastAsia="Arial" w:hAnsi="Arial"/>
          <w:b/>
          <w:bCs/>
          <w:color w:val="C0392B"/>
          <w:sz w:val="28"/>
          <w:szCs w:val="28"/>
        </w:rPr>
        <w:t xml:space="preserve">II. </w:t>
      </w:r>
      <w:r>
        <w:rPr>
          <w:rFonts w:ascii="Arial" w:cs="Arial" w:eastAsia="Arial" w:hAnsi="Arial"/>
          <w:b/>
          <w:bCs/>
          <w:color w:val="1A3557"/>
          <w:sz w:val="28"/>
          <w:szCs w:val="28"/>
        </w:rPr>
        <w:t xml:space="preserve">The Presidency's Record: What He Actually Did</w:t>
      </w:r>
    </w:p>
    <w:p>
      <w:pPr>
        <w:spacing w:after="180" w:line="360"/>
        <w:jc w:val="both"/>
      </w:pPr>
      <w:r>
        <w:rPr>
          <w:rFonts w:ascii="Georgia" w:cs="Georgia" w:eastAsia="Georgia" w:hAnsi="Georgia"/>
          <w:color w:val="1A1A1A"/>
          <w:sz w:val="24"/>
          <w:szCs w:val="24"/>
        </w:rPr>
        <w:t xml:space="preserve">On May 29, 2023, in the opening minutes of his inaugural address, President Tinubu announced the removal of Nigeria's petrol subsidy. No compensatory framework had been prepared. No social safety net had been designed and pre-positioned. No graduated transition had been engineered. The announcement was abrupt, its implementation immediate, and its consequences swift and severe.</w:t>
      </w:r>
    </w:p>
    <w:p>
      <w:pPr>
        <w:spacing w:after="180" w:line="360"/>
        <w:jc w:val="both"/>
      </w:pPr>
      <w:r>
        <w:rPr>
          <w:rFonts w:ascii="Georgia" w:cs="Georgia" w:eastAsia="Georgia" w:hAnsi="Georgia"/>
          <w:color w:val="1A1A1A"/>
          <w:sz w:val="24"/>
          <w:szCs w:val="24"/>
        </w:rPr>
        <w:t xml:space="preserve">Within months, transport costs had doubled and in some corridors tripled. Food prices surged. Small businesses, already starved of affordable energy and credit, began collapsing under the compounded weight of import cost inflation and consumer purchasing power collapse. By mid-2024, multiple independent assessments confirmed that over 133 million Nigerians — approaching two-thirds of the population — were living in multidimensional poverty. The cost of living crisis was officially the worst in 28 years.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single" w:color="B8860B" w:sz="24"/>
              <w:bottom w:val="none" w:color="FFFFFF" w:sz="0"/>
              <w:right w:val="none" w:color="FFFFFF" w:sz="0"/>
            </w:tcBorders>
            <w:shd w:fill="F0F4F8" w:val="clear"/>
            <w:tcMar>
              <w:top w:type="dxa" w:w="200"/>
              <w:left w:type="dxa" w:w="440"/>
              <w:bottom w:type="dxa" w:w="200"/>
              <w:right w:type="dxa" w:w="300"/>
            </w:tcMar>
          </w:tcPr>
          <w:p>
            <w:r>
              <w:rPr>
                <w:rFonts w:ascii="Georgia" w:cs="Georgia" w:eastAsia="Georgia" w:hAnsi="Georgia"/>
                <w:b/>
                <w:bCs/>
                <w:i/>
                <w:iCs/>
                <w:color w:val="1A3557"/>
                <w:sz w:val="30"/>
                <w:szCs w:val="30"/>
              </w:rPr>
              <w:t xml:space="preserve">“His book warned that financial orthodoxy pauperises the middle class and shackles the poor. His presidency confirmed the prediction with clinical precision — on his own citizens.”</w:t>
            </w:r>
          </w:p>
          <w:p>
            <w:pPr>
              <w:spacing w:before="80"/>
            </w:pPr>
            <w:r>
              <w:rPr>
                <w:rFonts w:ascii="Arial" w:cs="Arial" w:eastAsia="Arial" w:hAnsi="Arial"/>
                <w:color w:val="B8860B"/>
                <w:sz w:val="18"/>
                <w:szCs w:val="18"/>
              </w:rPr>
              <w:t xml:space="preserve">— TMN Analysis</w:t>
            </w:r>
          </w:p>
        </w:tc>
      </w:tr>
    </w:tbl>
    <w:p>
      <w:pPr>
        <w:spacing w:after="80"/>
      </w:pPr>
      <w:r>
        <w:t xml:space="preserve"/>
      </w:r>
    </w:p>
    <w:p>
      <w:pPr>
        <w:spacing w:after="180" w:line="360"/>
        <w:jc w:val="both"/>
      </w:pPr>
      <w:r>
        <w:rPr>
          <w:rFonts w:ascii="Georgia" w:cs="Georgia" w:eastAsia="Georgia" w:hAnsi="Georgia"/>
          <w:color w:val="1A1A1A"/>
          <w:sz w:val="24"/>
          <w:szCs w:val="24"/>
        </w:rPr>
        <w:t xml:space="preserve">The naira, meanwhile, was subjected to exchange rate liberalisation that caused it to collapse from approximately ₦450 to the dollar at inauguration to nearly ₦1,700 at peak volatility. This was done to satisfy the IMF and attract foreign portfolio investment — precisely the class of speculative international capital that the book characterised as the enemy of productive national development. The currency has since partially recovered, but the damage to household balance sheets, business planning horizons, and public trust has been structural and enduring.</w:t>
      </w:r>
    </w:p>
    <w:p>
      <w:pPr>
        <w:spacing w:after="180" w:line="360"/>
        <w:jc w:val="both"/>
      </w:pPr>
      <w:r>
        <w:rPr>
          <w:rFonts w:ascii="Georgia" w:cs="Georgia" w:eastAsia="Georgia" w:hAnsi="Georgia"/>
          <w:color w:val="1A1A1A"/>
          <w:sz w:val="24"/>
          <w:szCs w:val="24"/>
        </w:rPr>
        <w:t xml:space="preserve">On debt, the numbers are stark enough to constitute a rebuke of the book's own arguments. Nigeria's total debt stock has exceeded $100 billion. The 2025 federal budget allocated ₦16 trillion to debt servicing — more than double the previous year and larger than the combined allocations to education, health, infrastructure, and defence. This is financialism as Tinubu defined it: the demands of financial claimants crowding out investment in the productive and social capacities of the nation.</w:t>
      </w:r>
    </w:p>
    <w:p>
      <w:pPr>
        <w:spacing w:after="180" w:line="360"/>
        <w:jc w:val="both"/>
      </w:pPr>
      <w:r>
        <w:rPr>
          <w:rFonts w:ascii="Georgia" w:cs="Georgia" w:eastAsia="Georgia" w:hAnsi="Georgia"/>
          <w:color w:val="1A1A1A"/>
          <w:sz w:val="24"/>
          <w:szCs w:val="24"/>
        </w:rPr>
        <w:t xml:space="preserve">And on transparency, the administration has been silent where it needed most urgently to speak. Tinubu promised that subsidy removal savings would be redirected to public infrastructure and social investment. Three years later, no credible public accounting has been published. The Fiscal Responsibility Act's quarterly reporting requirements have been flouted. What has been publicly visible, in the same period, is a presidential jet procurement and discussions of a luxury yacht — expenditures whose optics, measured against declared austerity, constitute either obliviousness or indifference.</w:t>
      </w:r>
    </w:p>
    <w:p>
      <w:pPr>
        <w:spacing w:after="80"/>
      </w:pPr>
      <w:r>
        <w:t xml:space="preserve"/>
      </w:r>
    </w:p>
    <w:p>
      <w:pPr>
        <w:spacing w:before="300" w:after="120"/>
      </w:pPr>
      <w:r>
        <w:rPr>
          <w:rFonts w:ascii="Arial" w:cs="Arial" w:eastAsia="Arial" w:hAnsi="Arial"/>
          <w:b/>
          <w:bCs/>
          <w:color w:val="C0392B"/>
          <w:sz w:val="28"/>
          <w:szCs w:val="28"/>
        </w:rPr>
        <w:t xml:space="preserve">III. </w:t>
      </w:r>
      <w:r>
        <w:rPr>
          <w:rFonts w:ascii="Arial" w:cs="Arial" w:eastAsia="Arial" w:hAnsi="Arial"/>
          <w:b/>
          <w:bCs/>
          <w:color w:val="1A3557"/>
          <w:sz w:val="28"/>
          <w:szCs w:val="28"/>
        </w:rPr>
        <w:t xml:space="preserve">The Defence and Its Inadequacy</w:t>
      </w:r>
    </w:p>
    <w:p>
      <w:pPr>
        <w:spacing w:after="180" w:line="360"/>
        <w:jc w:val="both"/>
      </w:pPr>
      <w:r>
        <w:rPr>
          <w:rFonts w:ascii="Georgia" w:cs="Georgia" w:eastAsia="Georgia" w:hAnsi="Georgia"/>
          <w:color w:val="1A1A1A"/>
          <w:sz w:val="24"/>
          <w:szCs w:val="24"/>
        </w:rPr>
        <w:t xml:space="preserve">The administration's defenders mount a coherent case and it deserves honest engagement. The subsidy, they argue, was fiscally unsustainable and regressive — benefiting smugglers, wealthy car owners, and cross-border arbitrageurs more than poor Nigerians relying on public transport. The exchange rate unification was necessary to eliminate the multiple-window distortion that was fuelling capital flight and patronage. The tax reforms — four landmark bills signed in June 2025 — represent a structural overhaul of a broken revenue architecture. Non-oil exports grew to $1.79 billion in Q1 2025, a 24.75 per cent year-on-year rise. Fitch upgraded Nigeria's sovereign rating. The IMF acknowledged stabilisation.</w:t>
      </w:r>
    </w:p>
    <w:p>
      <w:pPr>
        <w:spacing w:after="180" w:line="360"/>
        <w:jc w:val="both"/>
      </w:pPr>
      <w:r>
        <w:rPr>
          <w:rFonts w:ascii="Georgia" w:cs="Georgia" w:eastAsia="Georgia" w:hAnsi="Georgia"/>
          <w:color w:val="1A1A1A"/>
          <w:sz w:val="24"/>
          <w:szCs w:val="24"/>
        </w:rPr>
        <w:t xml:space="preserve">None of this is fabricated. There are genuine stabilisation achievements, and intellectual honesty requires acknowledging them. But the defence is insufficient on its own terms, and here is precisely why: every element of it could have been articulated by a conventional IMF-aligned technocrat with no connection whatsoever to the arguments of Financialism: Water from an Empty Well. The defence is the defence of orthodox reform. It is not the defence of a man who once wrote that orthodox reform is the problem.</w:t>
      </w:r>
    </w:p>
    <w:p>
      <w:pPr>
        <w:spacing w:after="180" w:line="360"/>
        <w:jc w:val="both"/>
      </w:pPr>
      <w:r>
        <w:rPr>
          <w:rFonts w:ascii="Georgia" w:cs="Georgia" w:eastAsia="Georgia" w:hAnsi="Georgia"/>
          <w:color w:val="1A1A1A"/>
          <w:sz w:val="24"/>
          <w:szCs w:val="24"/>
        </w:rPr>
        <w:t xml:space="preserve">A president who had genuinely governed by his book's framework would have removed the subsidy only after constructing a robust, pre-positioned social protection architecture. He would have accompanied currency liberalisation with emergency credit facilities for small manufacturers. He would have presented a transparent public accounting of subsidy savings and their redeployment. He would have treated the social contract — his book's philosophical centrepiece — as a non-negotiable governance constraint, not an aspiration for a later, more convenient moment.</w:t>
      </w:r>
    </w:p>
    <w:p>
      <w:pPr>
        <w:spacing w:after="180" w:line="360"/>
        <w:jc w:val="both"/>
      </w:pPr>
      <w:r>
        <w:rPr>
          <w:rFonts w:ascii="Georgia" w:cs="Georgia" w:eastAsia="Georgia" w:hAnsi="Georgia"/>
          <w:color w:val="1A1A1A"/>
          <w:sz w:val="24"/>
          <w:szCs w:val="24"/>
        </w:rPr>
        <w:t xml:space="preserve">The stabilisation that the IMF praises is macroeconomic stabilisation. It is stabilisation at the level of fiscal ratios and credit ratings. It is not stabilisation at the level of the kitchen, the market, the school, or the clinic. And it is at that level — the level his book most passionately addressed — that the record is most difficult to defend.</w:t>
      </w:r>
    </w:p>
    <w:p>
      <w:pPr>
        <w:spacing w:after="120"/>
      </w:pPr>
      <w:r>
        <w:t xml:space="preserve"/>
      </w:r>
    </w:p>
    <w:p>
      <w:pPr>
        <w:spacing w:before="300" w:after="120"/>
      </w:pPr>
      <w:r>
        <w:rPr>
          <w:rFonts w:ascii="Arial" w:cs="Arial" w:eastAsia="Arial" w:hAnsi="Arial"/>
          <w:b/>
          <w:bCs/>
          <w:color w:val="C0392B"/>
          <w:sz w:val="28"/>
          <w:szCs w:val="28"/>
        </w:rPr>
        <w:t xml:space="preserve">IV. </w:t>
      </w:r>
      <w:r>
        <w:rPr>
          <w:rFonts w:ascii="Arial" w:cs="Arial" w:eastAsia="Arial" w:hAnsi="Arial"/>
          <w:b/>
          <w:bCs/>
          <w:color w:val="1A3557"/>
          <w:sz w:val="28"/>
          <w:szCs w:val="28"/>
        </w:rPr>
        <w:t xml:space="preserve">How He Can Still Govern by His Own Book</w:t>
      </w:r>
    </w:p>
    <w:p>
      <w:pPr>
        <w:spacing w:after="180" w:line="360"/>
        <w:jc w:val="both"/>
      </w:pPr>
      <w:r>
        <w:rPr>
          <w:rFonts w:ascii="Georgia" w:cs="Georgia" w:eastAsia="Georgia" w:hAnsi="Georgia"/>
          <w:color w:val="1A1A1A"/>
          <w:sz w:val="24"/>
          <w:szCs w:val="24"/>
        </w:rPr>
        <w:t xml:space="preserve">This op-ed is not an obituary. Tinubu has, as of this writing, approximately two years remaining in his first term. The intellectual resources for a course correction are not lacking. They are contained, almost point by point, in the book he wrote. The following is not a wish list. It is his own published programme, reconstructed as actionable governance.</w:t>
      </w:r>
    </w:p>
    <w:p>
      <w:pPr>
        <w:spacing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1A3557" w:sz="6"/>
              <w:left w:val="single" w:color="1A3557" w:sz="6"/>
              <w:bottom w:val="single" w:color="1A3557" w:sz="6"/>
              <w:right w:val="single" w:color="1A3557" w:sz="6"/>
            </w:tcBorders>
            <w:shd w:fill="F7FBFF" w:val="clear"/>
            <w:tcMar>
              <w:top w:type="dxa" w:w="240"/>
              <w:left w:type="dxa" w:w="360"/>
              <w:bottom w:type="dxa" w:w="240"/>
              <w:right w:type="dxa" w:w="360"/>
            </w:tcMar>
          </w:tcPr>
          <w:p>
            <w:pPr>
              <w:spacing w:after="120"/>
            </w:pPr>
            <w:r>
              <w:rPr>
                <w:rFonts w:ascii="Arial" w:cs="Arial" w:eastAsia="Arial" w:hAnsi="Arial"/>
                <w:b/>
                <w:bCs/>
                <w:color w:val="C0392B"/>
                <w:spacing w:val="80"/>
                <w:sz w:val="20"/>
                <w:szCs w:val="20"/>
              </w:rPr>
              <w:t xml:space="preserve">A PEOPLE-CENTRED GOVERNANCE FRAMEWORK</w:t>
            </w:r>
          </w:p>
          <w:p>
            <w:pPr>
              <w:pBdr>
                <w:bottom w:val="single" w:color="CCCCCC" w:sz="4" w:space="1"/>
              </w:pBdr>
              <w:spacing w:before="0" w:after="160"/>
            </w:pPr>
            <w:r>
              <w:t xml:space="preserve"/>
            </w:r>
          </w:p>
          <w:p>
            <w:pPr>
              <w:spacing w:after="160"/>
            </w:pPr>
            <w:r>
              <w:rPr>
                <w:rFonts w:ascii="Arial" w:cs="Arial" w:eastAsia="Arial" w:hAnsi="Arial"/>
                <w:b/>
                <w:bCs/>
                <w:color w:val="B8860B"/>
                <w:sz w:val="22"/>
                <w:szCs w:val="22"/>
              </w:rPr>
              <w:t xml:space="preserve">01  </w:t>
            </w:r>
            <w:r>
              <w:rPr>
                <w:rFonts w:ascii="Arial" w:cs="Arial" w:eastAsia="Arial" w:hAnsi="Arial"/>
                <w:b/>
                <w:bCs/>
                <w:color w:val="1A3557"/>
                <w:sz w:val="22"/>
                <w:szCs w:val="22"/>
              </w:rPr>
              <w:t xml:space="preserve">Establish a genuine social protection floor.  </w:t>
            </w:r>
            <w:r>
              <w:rPr>
                <w:rFonts w:ascii="Georgia" w:cs="Georgia" w:eastAsia="Georgia" w:hAnsi="Georgia"/>
                <w:color w:val="333333"/>
                <w:sz w:val="22"/>
                <w:szCs w:val="22"/>
              </w:rPr>
              <w:t xml:space="preserve">The Conditional Cash Transfer scheme announced in 2023 reached far fewer Nigerians than projected and has been plagued by implementation failures. Tinubu's book explicitly called for pro-poor fiscal policies. A credible, digitally-administered, biometrically-verified direct transfer system — indexed to inflation — is the minimum baseline consistent with his stated philosophy.</w:t>
            </w:r>
          </w:p>
          <w:p>
            <w:pPr>
              <w:spacing w:after="160"/>
            </w:pPr>
            <w:r>
              <w:rPr>
                <w:rFonts w:ascii="Arial" w:cs="Arial" w:eastAsia="Arial" w:hAnsi="Arial"/>
                <w:b/>
                <w:bCs/>
                <w:color w:val="B8860B"/>
                <w:sz w:val="22"/>
                <w:szCs w:val="22"/>
              </w:rPr>
              <w:t xml:space="preserve">02  </w:t>
            </w:r>
            <w:r>
              <w:rPr>
                <w:rFonts w:ascii="Arial" w:cs="Arial" w:eastAsia="Arial" w:hAnsi="Arial"/>
                <w:b/>
                <w:bCs/>
                <w:color w:val="1A3557"/>
                <w:sz w:val="22"/>
                <w:szCs w:val="22"/>
              </w:rPr>
              <w:t xml:space="preserve">Publish the subsidy savings account.  </w:t>
            </w:r>
            <w:r>
              <w:rPr>
                <w:rFonts w:ascii="Georgia" w:cs="Georgia" w:eastAsia="Georgia" w:hAnsi="Georgia"/>
                <w:color w:val="333333"/>
                <w:sz w:val="22"/>
                <w:szCs w:val="22"/>
              </w:rPr>
              <w:t xml:space="preserve">The Fiscal Responsibility Act requires quarterly budget implementation reporting. The administration has flouted this for extended periods. Full, publicly accessible disclosure of what subsidy removal saved, where those funds went, and what they built is not transparency as a favour — it is transparency as a legal obligation and a philosophical commitment Tinubu made in print.</w:t>
            </w:r>
          </w:p>
          <w:p>
            <w:pPr>
              <w:spacing w:after="160"/>
            </w:pPr>
            <w:r>
              <w:rPr>
                <w:rFonts w:ascii="Arial" w:cs="Arial" w:eastAsia="Arial" w:hAnsi="Arial"/>
                <w:b/>
                <w:bCs/>
                <w:color w:val="B8860B"/>
                <w:sz w:val="22"/>
                <w:szCs w:val="22"/>
              </w:rPr>
              <w:t xml:space="preserve">03  </w:t>
            </w:r>
            <w:r>
              <w:rPr>
                <w:rFonts w:ascii="Arial" w:cs="Arial" w:eastAsia="Arial" w:hAnsi="Arial"/>
                <w:b/>
                <w:bCs/>
                <w:color w:val="1A3557"/>
                <w:sz w:val="22"/>
                <w:szCs w:val="22"/>
              </w:rPr>
              <w:t xml:space="preserve">Activate the National Industrial Policy he prescribed.  </w:t>
            </w:r>
            <w:r>
              <w:rPr>
                <w:rFonts w:ascii="Georgia" w:cs="Georgia" w:eastAsia="Georgia" w:hAnsi="Georgia"/>
                <w:color w:val="333333"/>
                <w:sz w:val="22"/>
                <w:szCs w:val="22"/>
              </w:rPr>
              <w:t xml:space="preserve">The book called for a deliberate industrial strategy: protect emerging manufacturers, invest in electricity, build light manufacturing clusters, establish commodity boards with guaranteed minimum prices for farmers. Nigeria's Manufacturing PMI has been in contraction. The ₦200 billion MSME fund exists on paper but is largely inaccessible. A real industrial policy requires institutional infrastructure, not announcement capital.</w:t>
            </w:r>
          </w:p>
          <w:p>
            <w:pPr>
              <w:spacing w:after="160"/>
            </w:pPr>
            <w:r>
              <w:rPr>
                <w:rFonts w:ascii="Arial" w:cs="Arial" w:eastAsia="Arial" w:hAnsi="Arial"/>
                <w:b/>
                <w:bCs/>
                <w:color w:val="B8860B"/>
                <w:sz w:val="22"/>
                <w:szCs w:val="22"/>
              </w:rPr>
              <w:t xml:space="preserve">04  </w:t>
            </w:r>
            <w:r>
              <w:rPr>
                <w:rFonts w:ascii="Arial" w:cs="Arial" w:eastAsia="Arial" w:hAnsi="Arial"/>
                <w:b/>
                <w:bCs/>
                <w:color w:val="1A3557"/>
                <w:sz w:val="22"/>
                <w:szCs w:val="22"/>
              </w:rPr>
              <w:t xml:space="preserve">Restore Glass-Steagall principles in the Nigerian banking sector.  </w:t>
            </w:r>
            <w:r>
              <w:rPr>
                <w:rFonts w:ascii="Georgia" w:cs="Georgia" w:eastAsia="Georgia" w:hAnsi="Georgia"/>
                <w:color w:val="333333"/>
                <w:sz w:val="22"/>
                <w:szCs w:val="22"/>
              </w:rPr>
              <w:t xml:space="preserve">The book explicitly recommended separating speculative banking from commercial and development banking — following the model of the U.S. Glass-Steagall Act. Nigerian banks continue to orient toward fees, foreign exchange trading, and government securities rather than productive lending to agriculture and industry. A regulatory redesign that mandates sector-specific lending floors is both feasible and consistent with the book's core argument.</w:t>
            </w:r>
          </w:p>
          <w:p>
            <w:pPr>
              <w:spacing w:after="160"/>
            </w:pPr>
            <w:r>
              <w:rPr>
                <w:rFonts w:ascii="Arial" w:cs="Arial" w:eastAsia="Arial" w:hAnsi="Arial"/>
                <w:b/>
                <w:bCs/>
                <w:color w:val="B8860B"/>
                <w:sz w:val="22"/>
                <w:szCs w:val="22"/>
              </w:rPr>
              <w:t xml:space="preserve">05  </w:t>
            </w:r>
            <w:r>
              <w:rPr>
                <w:rFonts w:ascii="Arial" w:cs="Arial" w:eastAsia="Arial" w:hAnsi="Arial"/>
                <w:b/>
                <w:bCs/>
                <w:color w:val="1A3557"/>
                <w:sz w:val="22"/>
                <w:szCs w:val="22"/>
              </w:rPr>
              <w:t xml:space="preserve">Build the technical education pipeline.  </w:t>
            </w:r>
            <w:r>
              <w:rPr>
                <w:rFonts w:ascii="Georgia" w:cs="Georgia" w:eastAsia="Georgia" w:hAnsi="Georgia"/>
                <w:color w:val="333333"/>
                <w:sz w:val="22"/>
                <w:szCs w:val="22"/>
              </w:rPr>
              <w:t xml:space="preserve">The book argued for a wholesale reorientation of Nigerian education toward technical and vocational skills as the human capital foundation of industrialisation. Nigeria's TVET (Technical and Vocational Education and Training) sector remains chronically underfunded, understaffed, and socially stigmatised. A dedicated federal technical education endowment, with state-level implementation mandates, would be the most durable people-centred investment the administration could make.</w:t>
            </w:r>
          </w:p>
          <w:p>
            <w:pPr>
              <w:spacing w:after="160"/>
            </w:pPr>
            <w:r>
              <w:rPr>
                <w:rFonts w:ascii="Arial" w:cs="Arial" w:eastAsia="Arial" w:hAnsi="Arial"/>
                <w:b/>
                <w:bCs/>
                <w:color w:val="B8860B"/>
                <w:sz w:val="22"/>
                <w:szCs w:val="22"/>
              </w:rPr>
              <w:t xml:space="preserve">06  </w:t>
            </w:r>
            <w:r>
              <w:rPr>
                <w:rFonts w:ascii="Arial" w:cs="Arial" w:eastAsia="Arial" w:hAnsi="Arial"/>
                <w:b/>
                <w:bCs/>
                <w:color w:val="1A3557"/>
                <w:sz w:val="22"/>
                <w:szCs w:val="22"/>
              </w:rPr>
              <w:t xml:space="preserve">Redesign debt servicing to protect social spending.  </w:t>
            </w:r>
            <w:r>
              <w:rPr>
                <w:rFonts w:ascii="Georgia" w:cs="Georgia" w:eastAsia="Georgia" w:hAnsi="Georgia"/>
                <w:color w:val="333333"/>
                <w:sz w:val="22"/>
                <w:szCs w:val="22"/>
              </w:rPr>
              <w:t xml:space="preserve">The book warned of the crowding-out effect of debt on social investment. The administration should pursue a formal debt restructuring or renegotiation process — including with domestic lenders — that legally ring-fences minimum budget floors for education (at least 26% of budget per UNESCO recommendation) and health (15% per Abuja Declaration). These are not optional ideals. They are the difference between a stabilisation programme and a structural adjustment programme — and Tinubu's book knew the difference.</w:t>
            </w:r>
          </w:p>
        </w:tc>
      </w:tr>
    </w:tbl>
    <w:p>
      <w:pPr>
        <w:spacing w:after="200"/>
      </w:pPr>
      <w:r>
        <w:t xml:space="preserve"/>
      </w:r>
    </w:p>
    <w:p>
      <w:pPr>
        <w:spacing w:before="300" w:after="120"/>
      </w:pPr>
      <w:r>
        <w:rPr>
          <w:rFonts w:ascii="Arial" w:cs="Arial" w:eastAsia="Arial" w:hAnsi="Arial"/>
          <w:b/>
          <w:bCs/>
          <w:color w:val="C0392B"/>
          <w:sz w:val="28"/>
          <w:szCs w:val="28"/>
        </w:rPr>
        <w:t xml:space="preserve">V. </w:t>
      </w:r>
      <w:r>
        <w:rPr>
          <w:rFonts w:ascii="Arial" w:cs="Arial" w:eastAsia="Arial" w:hAnsi="Arial"/>
          <w:b/>
          <w:bCs/>
          <w:color w:val="1A3557"/>
          <w:sz w:val="28"/>
          <w:szCs w:val="28"/>
        </w:rPr>
        <w:t xml:space="preserve">The Deeper Stakes</w:t>
      </w:r>
    </w:p>
    <w:p>
      <w:pPr>
        <w:spacing w:after="180" w:line="360"/>
        <w:jc w:val="both"/>
      </w:pPr>
      <w:r>
        <w:rPr>
          <w:rFonts w:ascii="Georgia" w:cs="Georgia" w:eastAsia="Georgia" w:hAnsi="Georgia"/>
          <w:color w:val="1A1A1A"/>
          <w:sz w:val="24"/>
          <w:szCs w:val="24"/>
        </w:rPr>
        <w:t xml:space="preserve">The argument of this op-ed is ultimately not about Tinubu alone. It is about the credibility of political ideas as instruments of governance. If a leader of Tinubu's intellectual ambition can write a foundational critique of financialism's harm to the poor, win the presidency partly on the moral authority that intellectual record confers, and then govern in systematic contradiction of it — what does that say about the currency of ideas in Nigerian political life?</w:t>
      </w:r>
    </w:p>
    <w:p>
      <w:pPr>
        <w:spacing w:after="180" w:line="360"/>
        <w:jc w:val="both"/>
      </w:pPr>
      <w:r>
        <w:rPr>
          <w:rFonts w:ascii="Georgia" w:cs="Georgia" w:eastAsia="Georgia" w:hAnsi="Georgia"/>
          <w:color w:val="1A1A1A"/>
          <w:sz w:val="24"/>
          <w:szCs w:val="24"/>
        </w:rPr>
        <w:t xml:space="preserve">It says, if we are not careful, that ideas are decorative. That books are campaign accessories. That the intellectual labour of diagnosis is entirely separable from the political will of prescription. And that the poor, who were the intended beneficiaries of the book's argument, remain what they have always been in Nigerian political economy: the audience for the rhetoric and the bearers of the cost.</w:t>
      </w:r>
    </w:p>
    <w:p>
      <w:pPr>
        <w:spacing w:after="180" w:line="360"/>
        <w:jc w:val="both"/>
      </w:pPr>
      <w:r>
        <w:rPr>
          <w:rFonts w:ascii="Georgia" w:cs="Georgia" w:eastAsia="Georgia" w:hAnsi="Georgia"/>
          <w:color w:val="1A1A1A"/>
          <w:sz w:val="24"/>
          <w:szCs w:val="24"/>
        </w:rPr>
        <w:t xml:space="preserve">That conclusion, if allowed to stand unchallenged, is more devastating than any particular policy failure. It forecloses the possibility that governance can be principled — that what a leader says they believe can have any binding relationship to what they do.</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single" w:color="B8860B" w:sz="24"/>
              <w:bottom w:val="none" w:color="FFFFFF" w:sz="0"/>
              <w:right w:val="none" w:color="FFFFFF" w:sz="0"/>
            </w:tcBorders>
            <w:shd w:fill="F0F4F8" w:val="clear"/>
            <w:tcMar>
              <w:top w:type="dxa" w:w="200"/>
              <w:left w:type="dxa" w:w="440"/>
              <w:bottom w:type="dxa" w:w="200"/>
              <w:right w:type="dxa" w:w="300"/>
            </w:tcMar>
          </w:tcPr>
          <w:p>
            <w:r>
              <w:rPr>
                <w:rFonts w:ascii="Georgia" w:cs="Georgia" w:eastAsia="Georgia" w:hAnsi="Georgia"/>
                <w:b/>
                <w:bCs/>
                <w:i/>
                <w:iCs/>
                <w:color w:val="1A3557"/>
                <w:sz w:val="30"/>
                <w:szCs w:val="30"/>
              </w:rPr>
              <w:t xml:space="preserve">“The poor were the intended beneficiaries of the book's argument. They have become the bearers of the reform's cost. That is not irony. That is a political choice.”</w:t>
            </w:r>
          </w:p>
          <w:p>
            <w:pPr>
              <w:spacing w:before="80"/>
            </w:pPr>
            <w:r>
              <w:rPr>
                <w:rFonts w:ascii="Arial" w:cs="Arial" w:eastAsia="Arial" w:hAnsi="Arial"/>
                <w:color w:val="B8860B"/>
                <w:sz w:val="18"/>
                <w:szCs w:val="18"/>
              </w:rPr>
              <w:t xml:space="preserve">— TMN Editorial Board</w:t>
            </w:r>
          </w:p>
        </w:tc>
      </w:tr>
    </w:tbl>
    <w:p>
      <w:pPr>
        <w:spacing w:after="80"/>
      </w:pPr>
      <w:r>
        <w:t xml:space="preserve"/>
      </w:r>
    </w:p>
    <w:p>
      <w:pPr>
        <w:spacing w:after="180" w:line="360"/>
        <w:jc w:val="both"/>
      </w:pPr>
      <w:r>
        <w:rPr>
          <w:rFonts w:ascii="Georgia" w:cs="Georgia" w:eastAsia="Georgia" w:hAnsi="Georgia"/>
          <w:color w:val="1A1A1A"/>
          <w:sz w:val="24"/>
          <w:szCs w:val="24"/>
        </w:rPr>
        <w:t xml:space="preserve">There is still time to refuse that conclusion. Not through speeches, not through the ceremonial launching of more policy documents, but through the hard, unglamorous, institutionally demanding work of actually governing as though the people at the bottom of the economy are the primary constituency of fiscal, monetary, and industrial policy.</w:t>
      </w:r>
    </w:p>
    <w:p>
      <w:pPr>
        <w:spacing w:after="180" w:line="360"/>
        <w:jc w:val="both"/>
      </w:pPr>
      <w:r>
        <w:rPr>
          <w:rFonts w:ascii="Georgia" w:cs="Georgia" w:eastAsia="Georgia" w:hAnsi="Georgia"/>
          <w:color w:val="1A1A1A"/>
          <w:sz w:val="24"/>
          <w:szCs w:val="24"/>
        </w:rPr>
        <w:t xml:space="preserve">Tinubu does not need a new vision. He wrote one. It is 442 pages long. It sits on a shelf somewhere in Aso Rock — or it should. The question is whether the man who occupies the presidency has the intellectual courage and political will to govern by it.</w:t>
      </w:r>
    </w:p>
    <w:p>
      <w:pPr>
        <w:spacing w:after="180" w:line="360"/>
        <w:jc w:val="both"/>
      </w:pPr>
      <w:r>
        <w:rPr>
          <w:rFonts w:ascii="Georgia" w:cs="Georgia" w:eastAsia="Georgia" w:hAnsi="Georgia"/>
          <w:color w:val="1A1A1A"/>
          <w:sz w:val="24"/>
          <w:szCs w:val="24"/>
        </w:rPr>
        <w:t xml:space="preserve">Nigeria is waiting. And it is running out of patience.</w:t>
      </w:r>
    </w:p>
    <w:p>
      <w:pPr>
        <w:spacing w:after="200"/>
      </w:pPr>
      <w:r>
        <w:t xml:space="preserve"/>
      </w:r>
    </w:p>
    <w:p>
      <w:pPr>
        <w:pBdr>
          <w:bottom w:val="single" w:color="C0392B" w:sz="14" w:space="1"/>
        </w:pBdr>
        <w:spacing w:before="0" w:after="200"/>
      </w:pPr>
      <w:r>
        <w:t xml:space="preserve"/>
      </w:r>
    </w:p>
    <w:p>
      <w:pPr>
        <w:spacing w:after="60"/>
      </w:pPr>
      <w:r>
        <w:t xml:space="preserve"/>
      </w:r>
    </w:p>
    <w:p>
      <w:pPr>
        <w:spacing w:after="80"/>
      </w:pPr>
      <w:r>
        <w:rPr>
          <w:rFonts w:ascii="Arial" w:cs="Arial" w:eastAsia="Arial" w:hAnsi="Arial"/>
          <w:i/>
          <w:iCs/>
          <w:color w:val="999999"/>
          <w:sz w:val="17"/>
          <w:szCs w:val="17"/>
        </w:rPr>
        <w:t xml:space="preserve">Sources consulted: Tinubu, B.A. &amp; Browne, B. (2012). Financialism: Water from an Empty Well. Pinnacle Publications; Human Rights Watch (2024). Hope or Hardship for Nigeria?; SBM Intelligence (2024). Nigeria Poverty Assessment; CBN Exchange Rate Statistics 2023–2026; Federal Republic of Nigeria Appropriation Acts 2024 &amp; 2025; NBS Consumer Price Index Reports; NBS Foreign Trade Statistics Q1 2025; World Bank Nigeria Economic Update Spring 2025; Fitch Ratings Nigeria Sovereign Review 2025; Africa Check (2025). Fact-checking Tinubu's Independence Day Speech; Nigeria Labour Congress (2024). Tinubu’s Economic Reforms: Gainers and Losers.</w:t>
      </w:r>
    </w:p>
    <w:sectPr>
      <w:headerReference w:type="default" r:id="rId6"/>
      <w:footerReference w:type="default" r:id="rId7"/>
      <w:pgSz w:w="12240" w:h="15840" w:orient="portrait"/>
      <w:pgMar w:top="1080" w:right="1300" w:bottom="1080" w:left="13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1A3557" w:sz="6" w:space="1"/>
      </w:pBdr>
      <w:tabs>
        <w:tab w:val="right" w:pos="9360"/>
      </w:tabs>
      <w:spacing w:before="80"/>
    </w:pPr>
    <w:r>
      <w:rPr>
        <w:rFonts w:ascii="Arial" w:cs="Arial" w:eastAsia="Arial" w:hAnsi="Arial"/>
        <w:color w:val="AAAAAA"/>
        <w:sz w:val="16"/>
        <w:szCs w:val="16"/>
      </w:rPr>
      <w:t xml:space="preserve">© 2026 Thought Media Network. All rights reserved.</w:t>
    </w:r>
    <w:r>
      <w:rPr>
        <w:rFonts w:ascii="Arial" w:cs="Arial" w:eastAsia="Arial" w:hAnsi="Arial"/>
        <w:color w:val="1A3557"/>
        <w:sz w:val="16"/>
        <w:szCs w:val="16"/>
      </w:rPr>
      <w:t xml:space="preserve">	TMN Op-Ed Series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1A3557" w:sz="6" w:space="1"/>
      </w:pBdr>
      <w:tabs>
        <w:tab w:val="right" w:pos="9360"/>
      </w:tabs>
      <w:spacing w:after="80"/>
    </w:pPr>
    <w:r>
      <w:rPr>
        <w:rFonts w:ascii="Arial" w:cs="Arial" w:eastAsia="Arial" w:hAnsi="Arial"/>
        <w:b/>
        <w:bCs/>
        <w:color w:val="1A3557"/>
        <w:sz w:val="16"/>
        <w:szCs w:val="16"/>
      </w:rPr>
      <w:t xml:space="preserve">THOUGHT MEDIA NETWORK  —  OP-ED</w:t>
    </w:r>
    <w:r>
      <w:rPr>
        <w:rFonts w:ascii="Arial" w:cs="Arial" w:eastAsia="Arial" w:hAnsi="Arial"/>
        <w:sz w:val="16"/>
        <w:szCs w:val="16"/>
      </w:rPr>
      <w:t xml:space="preserve">	</w:t>
    </w:r>
    <w:r>
      <w:rPr>
        <w:rFonts w:ascii="Arial" w:cs="Arial" w:eastAsia="Arial" w:hAnsi="Arial"/>
        <w:color w:val="AAAAAA"/>
        <w:sz w:val="16"/>
        <w:szCs w:val="16"/>
      </w:rPr>
      <w:t xml:space="preserve">April 2026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eorgia" w:cs="Georgia" w:eastAsia="Georgia" w:hAnsi="Georgia"/>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2026-04-03T03:49:34.527Z</dcterms:created>
  <dcterms:modified xsi:type="dcterms:W3CDTF">2026-04-03T03:49:34.529Z</dcterms:modified>
</cp:coreProperties>
</file>

<file path=docProps/custom.xml><?xml version="1.0" encoding="utf-8"?>
<Properties xmlns="http://schemas.openxmlformats.org/officeDocument/2006/custom-properties" xmlns:vt="http://schemas.openxmlformats.org/officeDocument/2006/docPropsVTypes"/>
</file>