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200"/>
        <w:jc w:val="center"/>
      </w:pPr>
      <w:r>
        <w:rPr>
          <w:rFonts w:ascii="Arial" w:cs="Arial" w:eastAsia="Arial" w:hAnsi="Arial"/>
          <w:b/>
          <w:bCs/>
          <w:caps/>
          <w:color w:val="C0392B"/>
          <w:sz w:val="52"/>
          <w:szCs w:val="52"/>
        </w:rPr>
        <w:t xml:space="preserve">THOUGHT MEDIA NETWORK</w:t>
      </w:r>
    </w:p>
    <w:p>
      <w:pPr>
        <w:spacing w:after="60" w:before="0"/>
        <w:jc w:val="center"/>
      </w:pPr>
      <w:r>
        <w:rPr>
          <w:rFonts w:ascii="Arial" w:cs="Arial" w:eastAsia="Arial" w:hAnsi="Arial"/>
          <w:i/>
          <w:iCs/>
          <w:color w:val="555555"/>
          <w:sz w:val="22"/>
          <w:szCs w:val="22"/>
        </w:rPr>
        <w:t xml:space="preserve">Nigeria · Africa · The World</w:t>
      </w:r>
    </w:p>
    <w:p>
      <w:pPr>
        <w:pBdr>
          <w:bottom w:val="single" w:color="C0392B" w:sz="12" w:space="1"/>
        </w:pBdr>
        <w:spacing w:after="0" w:before="0"/>
      </w:pPr>
    </w:p>
    <w:p>
      <w:pPr>
        <w:spacing w:after="60" w:before="60"/>
      </w:pPr>
    </w:p>
    <w:p>
      <w:pPr>
        <w:spacing w:after="80" w:before="0"/>
      </w:pPr>
      <w:r>
        <w:rPr>
          <w:rFonts w:ascii="Arial" w:cs="Arial" w:eastAsia="Arial" w:hAnsi="Arial"/>
          <w:b/>
          <w:bCs/>
          <w:color w:val="FFFFFF"/>
          <w:sz w:val="18"/>
          <w:szCs w:val="18"/>
          <w:highlight w:val="darkRed"/>
          <w:highlightCs w:val="darkRed"/>
        </w:rPr>
        <w:t xml:space="preserve">NEWS DISPATCH  </w:t>
      </w:r>
    </w:p>
    <w:p>
      <w:pPr>
        <w:spacing w:after="80" w:before="0"/>
      </w:pPr>
      <w:r>
        <w:rPr>
          <w:rFonts w:ascii="Arial" w:cs="Arial" w:eastAsia="Arial" w:hAnsi="Arial"/>
          <w:b/>
          <w:bCs/>
          <w:caps/>
          <w:color w:val="C0392B"/>
          <w:sz w:val="18"/>
          <w:szCs w:val="18"/>
        </w:rPr>
        <w:t xml:space="preserve">BUDGET &amp; NATIONAL SECURITY</w:t>
      </w:r>
      <w:r>
        <w:rPr>
          <w:rFonts w:ascii="Arial" w:cs="Arial" w:eastAsia="Arial" w:hAnsi="Arial"/>
          <w:color w:val="555555"/>
          <w:sz w:val="18"/>
          <w:szCs w:val="18"/>
        </w:rPr>
        <w:t xml:space="preserve">   |   APRIL 3, 2026</w:t>
      </w:r>
    </w:p>
    <w:p>
      <w:pPr>
        <w:pStyle w:val="Heading1"/>
        <w:spacing w:after="120" w:before="80"/>
      </w:pPr>
      <w:r>
        <w:rPr>
          <w:rFonts w:ascii="Arial" w:cs="Arial" w:eastAsia="Arial" w:hAnsi="Arial"/>
          <w:b/>
          <w:bCs/>
          <w:color w:val="1A1A1A"/>
          <w:sz w:val="38"/>
          <w:szCs w:val="38"/>
        </w:rPr>
        <w:t xml:space="preserve">Nigeria's Budget Swells to ₦68.3 Trillion as Senate Approves Tinubu's Mid-Process Upward Revision — But Security Spending Cuts Raise Alarm</w:t>
      </w:r>
    </w:p>
    <w:p>
      <w:pPr>
        <w:spacing w:after="200" w:before="60"/>
        <w:jc w:val="both"/>
      </w:pPr>
      <w:r>
        <w:rPr>
          <w:rFonts w:ascii="Georgia" w:cs="Georgia" w:eastAsia="Georgia" w:hAnsi="Georgia"/>
          <w:i/>
          <w:iCs/>
          <w:color w:val="555555"/>
          <w:sz w:val="23"/>
          <w:szCs w:val="23"/>
        </w:rPr>
        <w:t xml:space="preserve">The upper chamber passed a record appropriation bill worth ₦68.323 trillion — inflated by a last-minute ₦9.3 trillion presidential request — without formal scrutiny of the revision. Meanwhile, defence funding has been cut from ₦6.57 trillion in 2025 to ₦5.41 trillion in 2026, even as insecurity kills over a thousand Nigerians in the first six weeks of the year.</w:t>
      </w:r>
    </w:p>
    <w:p>
      <w:pPr>
        <w:pBdr>
          <w:bottom w:val="single" w:color="DDDDDD" w:sz="2" w:space="1"/>
        </w:pBdr>
        <w:spacing w:after="0" w:before="0"/>
      </w:pPr>
    </w:p>
    <w:p>
      <w:pPr>
        <w:spacing w:after="120" w:before="120"/>
      </w:pPr>
    </w:p>
    <w:p>
      <w:pPr>
        <w:spacing w:after="200" w:before="0"/>
      </w:pPr>
      <w:r>
        <w:rPr>
          <w:rFonts w:ascii="Arial" w:cs="Arial" w:eastAsia="Arial" w:hAnsi="Arial"/>
          <w:b/>
          <w:bCs/>
          <w:color w:val="1A1A1A"/>
          <w:sz w:val="18"/>
          <w:szCs w:val="18"/>
        </w:rPr>
        <w:t xml:space="preserve">BY TMN POLITICAL CORRESPONDENT  </w:t>
      </w:r>
      <w:r>
        <w:rPr>
          <w:rFonts w:ascii="Arial" w:cs="Arial" w:eastAsia="Arial" w:hAnsi="Arial"/>
          <w:color w:val="555555"/>
          <w:sz w:val="18"/>
          <w:szCs w:val="18"/>
        </w:rPr>
        <w:t xml:space="preserve">| ABUJA BUREAU</w:t>
      </w:r>
    </w:p>
    <w:p>
      <w:pPr>
        <w:spacing w:after="160" w:before="80" w:line="276"/>
        <w:jc w:val="both"/>
      </w:pPr>
      <w:r>
        <w:rPr>
          <w:rFonts w:ascii="Georgia" w:cs="Georgia" w:eastAsia="Georgia" w:hAnsi="Georgia"/>
          <w:color w:val="1A1A1A"/>
          <w:sz w:val="22"/>
          <w:szCs w:val="22"/>
        </w:rPr>
        <w:t xml:space="preserve">ABUJA — Nigeria's National Assembly has passed a federal budget that has expanded dramatically in size and controversy. The Senate approved a total appropriation of ₦68.323 trillion for the 2026 fiscal year — a figure that started as ₦58.47 trillion when President Bola Tinubu presented it to a joint session of the National Assembly in December 2025, and that swelled by an additional ₦9.3 trillion following a presidential letter requesting an upward revision just days before the Senate's final vote.</w:t>
      </w:r>
    </w:p>
    <w:p>
      <w:pPr>
        <w:spacing w:after="160" w:before="80" w:line="276"/>
        <w:jc w:val="both"/>
      </w:pPr>
      <w:r>
        <w:rPr>
          <w:rFonts w:ascii="Georgia" w:cs="Georgia" w:eastAsia="Georgia" w:hAnsi="Georgia"/>
          <w:color w:val="1A1A1A"/>
          <w:sz w:val="22"/>
          <w:szCs w:val="22"/>
        </w:rPr>
        <w:t xml:space="preserve">Senate President Godswill Akpabio read out the president's letter on the floor of the chamber, in which Tinubu cited the need to regularise outstanding capital commitments inherited from previous budgets, consolidate existing government indebtedness, and ensure the continuity of key transport infrastructure projects. Lawmakers endorsed the request through voice votes without formally scrutinising the details of the revision — a procedural shortcut that has drawn sharp criticism from civil society organisations and opposition legislators.</w:t>
      </w:r>
    </w:p>
    <w:p>
      <w:pPr>
        <w:spacing w:after="80" w:before="160"/>
      </w:pPr>
    </w:p>
    <w:tbl>
      <w:tblPr>
        <w:tblW w:type="dxa" w:w="9360"/>
        <w:tblBorders>
          <w:top w:val="single" w:color="C0392B" w:sz="6"/>
          <w:left w:val="none"/>
          <w:bottom w:val="single" w:color="C0392B" w:sz="6"/>
          <w:right w:val="none"/>
          <w:insideH w:val="single" w:color="auto" w:sz="4"/>
          <w:insideV w:val="single" w:color="auto" w:sz="4"/>
        </w:tblBorders>
      </w:tblPr>
      <w:tblGrid>
        <w:gridCol w:w="9360"/>
      </w:tblGrid>
      <w:tr>
        <w:tc>
          <w:tcPr>
            <w:tcW w:type="dxa" w:w="9360"/>
            <w:shd w:fill="FFFFFF" w:val="clear"/>
            <w:tcMar>
              <w:top w:type="dxa" w:w="200"/>
              <w:left w:type="dxa" w:w="360"/>
              <w:bottom w:type="dxa" w:w="200"/>
              <w:right w:type="dxa" w:w="360"/>
            </w:tcMar>
          </w:tcPr>
          <w:p>
            <w:pPr>
              <w:spacing w:after="60" w:before="60"/>
              <w:jc w:val="center"/>
            </w:pPr>
            <w:r>
              <w:rPr>
                <w:rFonts w:ascii="Georgia" w:cs="Georgia" w:eastAsia="Georgia" w:hAnsi="Georgia"/>
                <w:b/>
                <w:bCs/>
                <w:i/>
                <w:iCs/>
                <w:color w:val="C0392B"/>
                <w:sz w:val="26"/>
                <w:szCs w:val="26"/>
              </w:rPr>
              <w:t xml:space="preserve">"The true test of a budget is not in its presentation, but in its delivery." — Senate Leader Opeyemi Bamidele</w:t>
            </w:r>
          </w:p>
        </w:tc>
      </w:tr>
    </w:tbl>
    <w:p>
      <w:pPr>
        <w:spacing w:after="160" w:before="80"/>
      </w:pPr>
    </w:p>
    <w:p>
      <w:pPr>
        <w:spacing w:after="160" w:before="80" w:line="276"/>
        <w:jc w:val="both"/>
      </w:pPr>
      <w:r>
        <w:rPr>
          <w:rFonts w:ascii="Georgia" w:cs="Georgia" w:eastAsia="Georgia" w:hAnsi="Georgia"/>
          <w:color w:val="1A1A1A"/>
          <w:sz w:val="22"/>
          <w:szCs w:val="22"/>
        </w:rPr>
        <w:t xml:space="preserve">The revised budget, now christened the "Budget of Consolidation, Renewed Resilience and Shared Prosperity," carries a fiscal deficit of ₦23.85 trillion — equivalent to 4.28 percent of GDP — and is anchored on an oil benchmark of $64.85 per barrel and a crude oil production target of 1.84 million barrels per day. Total projected revenue stands at ₦34.33 trillion, leaving a funding gap that will largely be financed through domestic and external borrowing.</w:t>
      </w:r>
    </w:p>
    <w:p>
      <w:pPr>
        <w:pStyle w:val="Heading2"/>
        <w:spacing w:after="100" w:before="280"/>
      </w:pPr>
      <w:r>
        <w:rPr>
          <w:rFonts w:ascii="Arial" w:cs="Arial" w:eastAsia="Arial" w:hAnsi="Arial"/>
          <w:b/>
          <w:bCs/>
          <w:color w:val="C0392B"/>
          <w:sz w:val="26"/>
          <w:szCs w:val="26"/>
        </w:rPr>
        <w:t xml:space="preserve">Security Allocation Cut Even as Death Toll Mounts</w:t>
      </w:r>
    </w:p>
    <w:p>
      <w:pPr>
        <w:spacing w:after="160" w:before="80" w:line="276"/>
        <w:jc w:val="both"/>
      </w:pPr>
      <w:r>
        <w:rPr>
          <w:rFonts w:ascii="Georgia" w:cs="Georgia" w:eastAsia="Georgia" w:hAnsi="Georgia"/>
          <w:color w:val="1A1A1A"/>
          <w:sz w:val="22"/>
          <w:szCs w:val="22"/>
        </w:rPr>
        <w:t xml:space="preserve">Among the most contested elements of the 2026 appropriation is the defence and security allocation of ₦5.41 trillion — representing approximately 9.3 percent of the original ₦58.18 trillion budget. While the figure remains one of the largest single sectoral allocations in the budget, it represents a significant reduction from the ₦6.57 trillion allocated to defence and security in 2025. The Ministry of Defence alone is budgeted to receive ₦3.154 trillion, covering personnel costs, operational logistics, and capital infrastructure for the Armed Forces.</w:t>
      </w:r>
    </w:p>
    <w:p>
      <w:pPr>
        <w:spacing w:after="160" w:before="80" w:line="276"/>
        <w:jc w:val="both"/>
      </w:pPr>
      <w:r>
        <w:rPr>
          <w:rFonts w:ascii="Georgia" w:cs="Georgia" w:eastAsia="Georgia" w:hAnsi="Georgia"/>
          <w:color w:val="1A1A1A"/>
          <w:sz w:val="22"/>
          <w:szCs w:val="22"/>
        </w:rPr>
        <w:t xml:space="preserve">The reduction comes despite a worsening security situation across the country. Security trackers estimate that no fewer than 1,091 Nigerians lost their lives to violent attacks within the first 41 days of 2026. As of this report, at least 3.726 million Nigerians remain internally displaced, scattered across approximately 3,900 camps nationwide. Since 2012, over 100,000 Nigerians have been killed in insecurity-related violence — a body count accumulated across 15 years in which the federal government committed an estimated ₦32.88 trillion, equivalent to approximately $44.6 billion, to defence expenditure.</w:t>
      </w:r>
    </w:p>
    <w:p>
      <w:pPr>
        <w:spacing w:after="160" w:before="80" w:line="276"/>
        <w:jc w:val="both"/>
      </w:pPr>
      <w:r>
        <w:rPr>
          <w:rFonts w:ascii="Georgia" w:cs="Georgia" w:eastAsia="Georgia" w:hAnsi="Georgia"/>
          <w:color w:val="1A1A1A"/>
          <w:sz w:val="22"/>
          <w:szCs w:val="22"/>
        </w:rPr>
        <w:t xml:space="preserve">In sectoral terms, the 2026 budget prioritises security over infrastructure (₦3.56 trillion), education (₦3.54 trillion), and health (₦2.48 trillion). Critics argue that even these priority figures mask a structural imbalance: debt servicing alone is budgeted at ₦15.52 trillion — nearly three times the combined spending on education and health.</w:t>
      </w:r>
    </w:p>
    <w:p>
      <w:pPr>
        <w:spacing w:after="80" w:before="160"/>
      </w:pPr>
    </w:p>
    <w:tbl>
      <w:tblPr>
        <w:tblW w:type="dxa" w:w="9360"/>
        <w:tblBorders>
          <w:top w:val="single" w:color="C0392B" w:sz="6"/>
          <w:left w:val="none"/>
          <w:bottom w:val="single" w:color="C0392B" w:sz="6"/>
          <w:right w:val="none"/>
          <w:insideH w:val="single" w:color="auto" w:sz="4"/>
          <w:insideV w:val="single" w:color="auto" w:sz="4"/>
        </w:tblBorders>
      </w:tblPr>
      <w:tblGrid>
        <w:gridCol w:w="9360"/>
      </w:tblGrid>
      <w:tr>
        <w:tc>
          <w:tcPr>
            <w:tcW w:type="dxa" w:w="9360"/>
            <w:shd w:fill="FFFFFF" w:val="clear"/>
            <w:tcMar>
              <w:top w:type="dxa" w:w="200"/>
              <w:left w:type="dxa" w:w="360"/>
              <w:bottom w:type="dxa" w:w="200"/>
              <w:right w:type="dxa" w:w="360"/>
            </w:tcMar>
          </w:tcPr>
          <w:p>
            <w:pPr>
              <w:spacing w:after="60" w:before="60"/>
              <w:jc w:val="center"/>
            </w:pPr>
            <w:r>
              <w:rPr>
                <w:rFonts w:ascii="Georgia" w:cs="Georgia" w:eastAsia="Georgia" w:hAnsi="Georgia"/>
                <w:b/>
                <w:bCs/>
                <w:i/>
                <w:iCs/>
                <w:color w:val="C0392B"/>
                <w:sz w:val="26"/>
                <w:szCs w:val="26"/>
              </w:rPr>
              <w:t xml:space="preserve">₦32.88 trillion spent on defence in 15 years — yet 100,000+ Nigerians killed, 3.7 million displaced</w:t>
            </w:r>
          </w:p>
        </w:tc>
      </w:tr>
    </w:tbl>
    <w:p>
      <w:pPr>
        <w:spacing w:after="160" w:before="80"/>
      </w:pPr>
    </w:p>
    <w:p>
      <w:pPr>
        <w:spacing w:after="80" w:before="200"/>
      </w:pPr>
      <w:r>
        <w:rPr>
          <w:rFonts w:ascii="Arial" w:cs="Arial" w:eastAsia="Arial" w:hAnsi="Arial"/>
          <w:b/>
          <w:bCs/>
          <w:caps/>
          <w:color w:val="1A1A1A"/>
          <w:sz w:val="19"/>
          <w:szCs w:val="19"/>
        </w:rPr>
        <w:t xml:space="preserve">2026 FEDERAL BUDGET: KEY SECTORAL ALLOCATIONS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DDDDDD" w:sz="1"/>
              <w:left w:val="single" w:color="DDDDDD" w:sz="1"/>
              <w:bottom w:val="single" w:color="DDDDDD" w:sz="1"/>
              <w:right w:val="single" w:color="DDDDDD" w:sz="1"/>
            </w:tcBorders>
            <w:shd w:fill="C0392B" w:val="clear"/>
            <w:tcMar>
              <w:top w:type="dxa" w:w="100"/>
              <w:left w:type="dxa" w:w="120"/>
              <w:bottom w:type="dxa" w:w="100"/>
              <w:right w:type="dxa" w:w="120"/>
            </w:tcMar>
          </w:tcPr>
          <w:p>
            <w:pPr>
              <w:jc w:val="center"/>
            </w:pPr>
            <w:r>
              <w:rPr>
                <w:rFonts w:ascii="Arial" w:cs="Arial" w:eastAsia="Arial" w:hAnsi="Arial"/>
                <w:b/>
                <w:bCs/>
                <w:color w:val="FFFFFF"/>
                <w:sz w:val="18"/>
                <w:szCs w:val="18"/>
              </w:rPr>
              <w:t xml:space="preserve">Sector</w:t>
            </w:r>
          </w:p>
        </w:tc>
        <w:tc>
          <w:tcPr>
            <w:tcW w:type="dxa" w:w="3120"/>
            <w:tcBorders>
              <w:top w:val="single" w:color="DDDDDD" w:sz="1"/>
              <w:left w:val="single" w:color="DDDDDD" w:sz="1"/>
              <w:bottom w:val="single" w:color="DDDDDD" w:sz="1"/>
              <w:right w:val="single" w:color="DDDDDD" w:sz="1"/>
            </w:tcBorders>
            <w:shd w:fill="C0392B" w:val="clear"/>
            <w:tcMar>
              <w:top w:type="dxa" w:w="100"/>
              <w:left w:type="dxa" w:w="120"/>
              <w:bottom w:type="dxa" w:w="100"/>
              <w:right w:type="dxa" w:w="120"/>
            </w:tcMar>
          </w:tcPr>
          <w:p>
            <w:pPr>
              <w:jc w:val="center"/>
            </w:pPr>
            <w:r>
              <w:rPr>
                <w:rFonts w:ascii="Arial" w:cs="Arial" w:eastAsia="Arial" w:hAnsi="Arial"/>
                <w:b/>
                <w:bCs/>
                <w:color w:val="FFFFFF"/>
                <w:sz w:val="18"/>
                <w:szCs w:val="18"/>
              </w:rPr>
              <w:t xml:space="preserve">Allocation (₦ Trillion)</w:t>
            </w:r>
          </w:p>
        </w:tc>
        <w:tc>
          <w:tcPr>
            <w:tcW w:type="dxa" w:w="3120"/>
            <w:tcBorders>
              <w:top w:val="single" w:color="DDDDDD" w:sz="1"/>
              <w:left w:val="single" w:color="DDDDDD" w:sz="1"/>
              <w:bottom w:val="single" w:color="DDDDDD" w:sz="1"/>
              <w:right w:val="single" w:color="DDDDDD" w:sz="1"/>
            </w:tcBorders>
            <w:shd w:fill="C0392B" w:val="clear"/>
            <w:tcMar>
              <w:top w:type="dxa" w:w="100"/>
              <w:left w:type="dxa" w:w="120"/>
              <w:bottom w:type="dxa" w:w="100"/>
              <w:right w:type="dxa" w:w="120"/>
            </w:tcMar>
          </w:tcPr>
          <w:p>
            <w:pPr>
              <w:jc w:val="center"/>
            </w:pPr>
            <w:r>
              <w:rPr>
                <w:rFonts w:ascii="Arial" w:cs="Arial" w:eastAsia="Arial" w:hAnsi="Arial"/>
                <w:b/>
                <w:bCs/>
                <w:color w:val="FFFFFF"/>
                <w:sz w:val="18"/>
                <w:szCs w:val="18"/>
              </w:rPr>
              <w:t xml:space="preserve">% of Original Budget</w:t>
            </w:r>
          </w:p>
        </w:tc>
      </w:tr>
      <w:tr>
        <w:tc>
          <w:tcPr>
            <w:tcW w:type="dxa" w:w="3120"/>
            <w:tcBorders>
              <w:top w:val="single" w:color="DDDDDD" w:sz="1"/>
              <w:left w:val="single" w:color="DDDDDD" w:sz="1"/>
              <w:bottom w:val="single" w:color="DDDDDD" w:sz="1"/>
              <w:right w:val="single" w:color="DDDDDD" w:sz="1"/>
            </w:tcBorders>
            <w:shd w:fill="F9F9F9" w:val="clear"/>
            <w:tcMar>
              <w:top w:type="dxa" w:w="100"/>
              <w:left w:type="dxa" w:w="120"/>
              <w:bottom w:type="dxa" w:w="100"/>
              <w:right w:type="dxa" w:w="120"/>
            </w:tcMar>
          </w:tcPr>
          <w:p>
            <w:pPr>
              <w:jc w:val="left"/>
            </w:pPr>
            <w:r>
              <w:rPr>
                <w:rFonts w:ascii="Arial" w:cs="Arial" w:eastAsia="Arial" w:hAnsi="Arial"/>
                <w:b w:val="false"/>
                <w:bCs w:val="false"/>
                <w:color w:val="1A1A1A"/>
                <w:sz w:val="19"/>
                <w:szCs w:val="19"/>
              </w:rPr>
              <w:t xml:space="preserve">Debt Servicing</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15.52</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26.7%</w:t>
            </w:r>
          </w:p>
        </w:tc>
      </w:tr>
      <w:tr>
        <w:tc>
          <w:tcPr>
            <w:tcW w:type="dxa" w:w="3120"/>
            <w:tcBorders>
              <w:top w:val="single" w:color="DDDDDD" w:sz="1"/>
              <w:left w:val="single" w:color="DDDDDD" w:sz="1"/>
              <w:bottom w:val="single" w:color="DDDDDD" w:sz="1"/>
              <w:right w:val="single" w:color="DDDDDD" w:sz="1"/>
            </w:tcBorders>
            <w:shd w:fill="F9F9F9" w:val="clear"/>
            <w:tcMar>
              <w:top w:type="dxa" w:w="100"/>
              <w:left w:type="dxa" w:w="120"/>
              <w:bottom w:type="dxa" w:w="100"/>
              <w:right w:type="dxa" w:w="120"/>
            </w:tcMar>
          </w:tcPr>
          <w:p>
            <w:pPr>
              <w:jc w:val="left"/>
            </w:pPr>
            <w:r>
              <w:rPr>
                <w:rFonts w:ascii="Arial" w:cs="Arial" w:eastAsia="Arial" w:hAnsi="Arial"/>
                <w:b w:val="false"/>
                <w:bCs w:val="false"/>
                <w:color w:val="1A1A1A"/>
                <w:sz w:val="19"/>
                <w:szCs w:val="19"/>
              </w:rPr>
              <w:t xml:space="preserve">Recurrent (Non-Debt)</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15.25</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26.2%</w:t>
            </w:r>
          </w:p>
        </w:tc>
      </w:tr>
      <w:tr>
        <w:tc>
          <w:tcPr>
            <w:tcW w:type="dxa" w:w="3120"/>
            <w:tcBorders>
              <w:top w:val="single" w:color="DDDDDD" w:sz="1"/>
              <w:left w:val="single" w:color="DDDDDD" w:sz="1"/>
              <w:bottom w:val="single" w:color="DDDDDD" w:sz="1"/>
              <w:right w:val="single" w:color="DDDDDD" w:sz="1"/>
            </w:tcBorders>
            <w:shd w:fill="F9F9F9" w:val="clear"/>
            <w:tcMar>
              <w:top w:type="dxa" w:w="100"/>
              <w:left w:type="dxa" w:w="120"/>
              <w:bottom w:type="dxa" w:w="100"/>
              <w:right w:type="dxa" w:w="120"/>
            </w:tcMar>
          </w:tcPr>
          <w:p>
            <w:pPr>
              <w:jc w:val="left"/>
            </w:pPr>
            <w:r>
              <w:rPr>
                <w:rFonts w:ascii="Arial" w:cs="Arial" w:eastAsia="Arial" w:hAnsi="Arial"/>
                <w:b w:val="false"/>
                <w:bCs w:val="false"/>
                <w:color w:val="1A1A1A"/>
                <w:sz w:val="19"/>
                <w:szCs w:val="19"/>
              </w:rPr>
              <w:t xml:space="preserve">Capital Expenditure</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26.08</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44.8%</w:t>
            </w:r>
          </w:p>
        </w:tc>
      </w:tr>
      <w:tr>
        <w:tc>
          <w:tcPr>
            <w:tcW w:type="dxa" w:w="3120"/>
            <w:tcBorders>
              <w:top w:val="single" w:color="DDDDDD" w:sz="1"/>
              <w:left w:val="single" w:color="DDDDDD" w:sz="1"/>
              <w:bottom w:val="single" w:color="DDDDDD" w:sz="1"/>
              <w:right w:val="single" w:color="DDDDDD" w:sz="1"/>
            </w:tcBorders>
            <w:shd w:fill="F9F9F9" w:val="clear"/>
            <w:tcMar>
              <w:top w:type="dxa" w:w="100"/>
              <w:left w:type="dxa" w:w="120"/>
              <w:bottom w:type="dxa" w:w="100"/>
              <w:right w:type="dxa" w:w="120"/>
            </w:tcMar>
          </w:tcPr>
          <w:p>
            <w:pPr>
              <w:jc w:val="left"/>
            </w:pPr>
            <w:r>
              <w:rPr>
                <w:rFonts w:ascii="Arial" w:cs="Arial" w:eastAsia="Arial" w:hAnsi="Arial"/>
                <w:b w:val="false"/>
                <w:bCs w:val="false"/>
                <w:color w:val="1A1A1A"/>
                <w:sz w:val="19"/>
                <w:szCs w:val="19"/>
              </w:rPr>
              <w:t xml:space="preserve">Defence &amp; Security</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5.41</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9.3%</w:t>
            </w:r>
          </w:p>
        </w:tc>
      </w:tr>
      <w:tr>
        <w:tc>
          <w:tcPr>
            <w:tcW w:type="dxa" w:w="3120"/>
            <w:tcBorders>
              <w:top w:val="single" w:color="DDDDDD" w:sz="1"/>
              <w:left w:val="single" w:color="DDDDDD" w:sz="1"/>
              <w:bottom w:val="single" w:color="DDDDDD" w:sz="1"/>
              <w:right w:val="single" w:color="DDDDDD" w:sz="1"/>
            </w:tcBorders>
            <w:shd w:fill="F9F9F9" w:val="clear"/>
            <w:tcMar>
              <w:top w:type="dxa" w:w="100"/>
              <w:left w:type="dxa" w:w="120"/>
              <w:bottom w:type="dxa" w:w="100"/>
              <w:right w:type="dxa" w:w="120"/>
            </w:tcMar>
          </w:tcPr>
          <w:p>
            <w:pPr>
              <w:jc w:val="left"/>
            </w:pPr>
            <w:r>
              <w:rPr>
                <w:rFonts w:ascii="Arial" w:cs="Arial" w:eastAsia="Arial" w:hAnsi="Arial"/>
                <w:b w:val="false"/>
                <w:bCs w:val="false"/>
                <w:color w:val="1A1A1A"/>
                <w:sz w:val="19"/>
                <w:szCs w:val="19"/>
              </w:rPr>
              <w:t xml:space="preserve">Infrastructure</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3.56</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6.1%</w:t>
            </w:r>
          </w:p>
        </w:tc>
      </w:tr>
      <w:tr>
        <w:tc>
          <w:tcPr>
            <w:tcW w:type="dxa" w:w="3120"/>
            <w:tcBorders>
              <w:top w:val="single" w:color="DDDDDD" w:sz="1"/>
              <w:left w:val="single" w:color="DDDDDD" w:sz="1"/>
              <w:bottom w:val="single" w:color="DDDDDD" w:sz="1"/>
              <w:right w:val="single" w:color="DDDDDD" w:sz="1"/>
            </w:tcBorders>
            <w:shd w:fill="F9F9F9" w:val="clear"/>
            <w:tcMar>
              <w:top w:type="dxa" w:w="100"/>
              <w:left w:type="dxa" w:w="120"/>
              <w:bottom w:type="dxa" w:w="100"/>
              <w:right w:type="dxa" w:w="120"/>
            </w:tcMar>
          </w:tcPr>
          <w:p>
            <w:pPr>
              <w:jc w:val="left"/>
            </w:pPr>
            <w:r>
              <w:rPr>
                <w:rFonts w:ascii="Arial" w:cs="Arial" w:eastAsia="Arial" w:hAnsi="Arial"/>
                <w:b w:val="false"/>
                <w:bCs w:val="false"/>
                <w:color w:val="1A1A1A"/>
                <w:sz w:val="19"/>
                <w:szCs w:val="19"/>
              </w:rPr>
              <w:t xml:space="preserve">Education</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3.54</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6.1%</w:t>
            </w:r>
          </w:p>
        </w:tc>
      </w:tr>
      <w:tr>
        <w:tc>
          <w:tcPr>
            <w:tcW w:type="dxa" w:w="3120"/>
            <w:tcBorders>
              <w:top w:val="single" w:color="DDDDDD" w:sz="1"/>
              <w:left w:val="single" w:color="DDDDDD" w:sz="1"/>
              <w:bottom w:val="single" w:color="DDDDDD" w:sz="1"/>
              <w:right w:val="single" w:color="DDDDDD" w:sz="1"/>
            </w:tcBorders>
            <w:shd w:fill="F9F9F9" w:val="clear"/>
            <w:tcMar>
              <w:top w:type="dxa" w:w="100"/>
              <w:left w:type="dxa" w:w="120"/>
              <w:bottom w:type="dxa" w:w="100"/>
              <w:right w:type="dxa" w:w="120"/>
            </w:tcMar>
          </w:tcPr>
          <w:p>
            <w:pPr>
              <w:jc w:val="left"/>
            </w:pPr>
            <w:r>
              <w:rPr>
                <w:rFonts w:ascii="Arial" w:cs="Arial" w:eastAsia="Arial" w:hAnsi="Arial"/>
                <w:b w:val="false"/>
                <w:bCs w:val="false"/>
                <w:color w:val="1A1A1A"/>
                <w:sz w:val="19"/>
                <w:szCs w:val="19"/>
              </w:rPr>
              <w:t xml:space="preserve">Health</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2.48</w:t>
            </w:r>
          </w:p>
        </w:tc>
        <w:tc>
          <w:tcPr>
            <w:tcW w:type="dxa" w:w="3120"/>
            <w:tcBorders>
              <w:top w:val="single" w:color="DDDDDD" w:sz="1"/>
              <w:left w:val="single" w:color="DDDDDD" w:sz="1"/>
              <w:bottom w:val="single" w:color="DDDDDD" w:sz="1"/>
              <w:right w:val="single" w:color="DDDDDD" w:sz="1"/>
            </w:tcBorders>
            <w:shd w:fill="FFFFFF" w:val="clear"/>
            <w:tcMar>
              <w:top w:type="dxa" w:w="100"/>
              <w:left w:type="dxa" w:w="120"/>
              <w:bottom w:type="dxa" w:w="100"/>
              <w:right w:type="dxa" w:w="120"/>
            </w:tcMar>
          </w:tcPr>
          <w:p>
            <w:pPr>
              <w:jc w:val="right"/>
            </w:pPr>
            <w:r>
              <w:rPr>
                <w:rFonts w:ascii="Arial" w:cs="Arial" w:eastAsia="Arial" w:hAnsi="Arial"/>
                <w:b w:val="false"/>
                <w:bCs w:val="false"/>
                <w:color w:val="1A1A1A"/>
                <w:sz w:val="19"/>
                <w:szCs w:val="19"/>
              </w:rPr>
              <w:t xml:space="preserve">4.3%</w:t>
            </w:r>
          </w:p>
        </w:tc>
      </w:tr>
    </w:tbl>
    <w:p>
      <w:pPr>
        <w:spacing w:after="200" w:before="60"/>
      </w:pPr>
      <w:r>
        <w:rPr>
          <w:rFonts w:ascii="Arial" w:cs="Arial" w:eastAsia="Arial" w:hAnsi="Arial"/>
          <w:i/>
          <w:iCs/>
          <w:color w:val="555555"/>
          <w:sz w:val="16"/>
          <w:szCs w:val="16"/>
        </w:rPr>
        <w:t xml:space="preserve">Source: Federal Ministry of Finance / National Assembly Appropriations Committee, 2026</w:t>
      </w:r>
    </w:p>
    <w:p>
      <w:pPr>
        <w:pStyle w:val="Heading2"/>
        <w:spacing w:after="100" w:before="200"/>
      </w:pPr>
      <w:r>
        <w:rPr>
          <w:rFonts w:ascii="Arial" w:cs="Arial" w:eastAsia="Arial" w:hAnsi="Arial"/>
          <w:b/>
          <w:bCs/>
          <w:color w:val="C0392B"/>
          <w:sz w:val="26"/>
          <w:szCs w:val="26"/>
        </w:rPr>
        <w:t xml:space="preserve">CDS: Military Cannot Solve Security Alone</w:t>
      </w:r>
    </w:p>
    <w:p>
      <w:pPr>
        <w:spacing w:after="160" w:before="80" w:line="276"/>
        <w:jc w:val="both"/>
      </w:pPr>
      <w:r>
        <w:rPr>
          <w:rFonts w:ascii="Georgia" w:cs="Georgia" w:eastAsia="Georgia" w:hAnsi="Georgia"/>
          <w:color w:val="1A1A1A"/>
          <w:sz w:val="22"/>
          <w:szCs w:val="22"/>
        </w:rPr>
        <w:t xml:space="preserve">Chief of Defence Staff General Olufemi Oluyede made a candid admission before the National Assembly during the budget defence session: the Armed Forces alone cannot resolve Nigeria's multidimensional security crisis. The general called for stronger collaboration with other security agencies and civilian institutions, arguing that unless such agencies are adequately resourced and empowered, military gains in conflict zones risk being reversed. "If these institutions are strengthened, they can effectively hold and secure territories where the Armed Forces have succeeded, ensuring that such areas remain safe," he stated.</w:t>
      </w:r>
    </w:p>
    <w:p>
      <w:pPr>
        <w:spacing w:after="160" w:before="80" w:line="276"/>
        <w:jc w:val="both"/>
      </w:pPr>
      <w:r>
        <w:rPr>
          <w:rFonts w:ascii="Georgia" w:cs="Georgia" w:eastAsia="Georgia" w:hAnsi="Georgia"/>
          <w:color w:val="1A1A1A"/>
          <w:sz w:val="22"/>
          <w:szCs w:val="22"/>
        </w:rPr>
        <w:t xml:space="preserve">The general's remarks reflect a growing consensus among security analysts that Nigeria's insecurity is structural rather than merely operational — rooted in poverty, governance deficits, ungoverned spaces, and the spillover dynamics of the Sahel crisis. Intelligence assessments indicate that as Burkina Faso, Mali, and Niger continue to fragment under jihadist pressure, Nigeria's northwest and northeast face escalating risk of insurgent infiltration. The same regional vacuum that is destabilising Nigeria's neighbours is gradually being exploited as a corridor toward Nigerian territory.</w:t>
      </w:r>
    </w:p>
    <w:p>
      <w:pPr>
        <w:pStyle w:val="Heading2"/>
        <w:spacing w:after="100" w:before="200"/>
      </w:pPr>
      <w:r>
        <w:rPr>
          <w:rFonts w:ascii="Arial" w:cs="Arial" w:eastAsia="Arial" w:hAnsi="Arial"/>
          <w:b/>
          <w:bCs/>
          <w:color w:val="C0392B"/>
          <w:sz w:val="26"/>
          <w:szCs w:val="26"/>
        </w:rPr>
        <w:t xml:space="preserve">Senate Vows Oversight — But Waived It on ₦9.3 Trillion Revision</w:t>
      </w:r>
    </w:p>
    <w:p>
      <w:pPr>
        <w:spacing w:after="160" w:before="80" w:line="276"/>
        <w:jc w:val="both"/>
      </w:pPr>
      <w:r>
        <w:rPr>
          <w:rFonts w:ascii="Georgia" w:cs="Georgia" w:eastAsia="Georgia" w:hAnsi="Georgia"/>
          <w:color w:val="1A1A1A"/>
          <w:sz w:val="22"/>
          <w:szCs w:val="22"/>
        </w:rPr>
        <w:t xml:space="preserve">In earlier sessions, Senate leaders adopted a tone of fiscal vigilance. Senate Leader Opeyemi Bamidele declared that the 2026 budget is a "legal instrument" for enforceable public expenditure, and pledged that the era of experimental budgeting was over. Senators Ali Ndume and Ahmad Lawan added their voices, demanding implementation "to the letter" and warning against waste — particularly in the defence procurement chain. The committee chairman set a March 17 target for passage, with full committee reviews scheduled across all ministerial portfolios.</w:t>
      </w:r>
    </w:p>
    <w:p>
      <w:pPr>
        <w:spacing w:after="160" w:before="80" w:line="276"/>
        <w:jc w:val="both"/>
      </w:pPr>
      <w:r>
        <w:rPr>
          <w:rFonts w:ascii="Georgia" w:cs="Georgia" w:eastAsia="Georgia" w:hAnsi="Georgia"/>
          <w:color w:val="1A1A1A"/>
          <w:sz w:val="22"/>
          <w:szCs w:val="22"/>
        </w:rPr>
        <w:t xml:space="preserve">Yet when Tinubu's supplementary request arrived — adding ₦9.3 trillion in a single letter — the chamber's oversight resolve appeared to give way. No senator publicly questioned the basis of the additional spending before the vote. The final figure of ₦68.323 trillion — reached after lawmakers themselves added a further ₦623 billion to the president's revised figure — was passed primarily by voice vote. Analysts warn that this procedural pattern risks embedding a culture of budgetary inflation, where supplementary requests become routine instruments for fiscal expansion beyond legislated ceilings.</w:t>
      </w:r>
    </w:p>
    <w:p>
      <w:pPr>
        <w:spacing w:after="80" w:before="160"/>
      </w:pPr>
    </w:p>
    <w:tbl>
      <w:tblPr>
        <w:tblW w:type="dxa" w:w="9360"/>
        <w:tblBorders>
          <w:top w:val="single" w:color="C0392B" w:sz="6"/>
          <w:left w:val="none"/>
          <w:bottom w:val="single" w:color="C0392B" w:sz="6"/>
          <w:right w:val="none"/>
          <w:insideH w:val="single" w:color="auto" w:sz="4"/>
          <w:insideV w:val="single" w:color="auto" w:sz="4"/>
        </w:tblBorders>
      </w:tblPr>
      <w:tblGrid>
        <w:gridCol w:w="9360"/>
      </w:tblGrid>
      <w:tr>
        <w:tc>
          <w:tcPr>
            <w:tcW w:type="dxa" w:w="9360"/>
            <w:shd w:fill="FFFFFF" w:val="clear"/>
            <w:tcMar>
              <w:top w:type="dxa" w:w="200"/>
              <w:left w:type="dxa" w:w="360"/>
              <w:bottom w:type="dxa" w:w="200"/>
              <w:right w:type="dxa" w:w="360"/>
            </w:tcMar>
          </w:tcPr>
          <w:p>
            <w:pPr>
              <w:spacing w:after="60" w:before="60"/>
              <w:jc w:val="center"/>
            </w:pPr>
            <w:r>
              <w:rPr>
                <w:rFonts w:ascii="Georgia" w:cs="Georgia" w:eastAsia="Georgia" w:hAnsi="Georgia"/>
                <w:b/>
                <w:bCs/>
                <w:i/>
                <w:iCs/>
                <w:color w:val="C0392B"/>
                <w:sz w:val="26"/>
                <w:szCs w:val="26"/>
              </w:rPr>
              <w:t xml:space="preserve">₦23.85 trillion deficit — 4.28% of GDP — with debt service alone exceeding all security, education, and health spending combined</w:t>
            </w:r>
          </w:p>
        </w:tc>
      </w:tr>
    </w:tbl>
    <w:p>
      <w:pPr>
        <w:spacing w:after="160" w:before="80"/>
      </w:pPr>
    </w:p>
    <w:p>
      <w:pPr>
        <w:pStyle w:val="Heading2"/>
        <w:spacing w:after="100" w:before="200"/>
      </w:pPr>
      <w:r>
        <w:rPr>
          <w:rFonts w:ascii="Arial" w:cs="Arial" w:eastAsia="Arial" w:hAnsi="Arial"/>
          <w:b/>
          <w:bCs/>
          <w:color w:val="C0392B"/>
          <w:sz w:val="26"/>
          <w:szCs w:val="26"/>
        </w:rPr>
        <w:t xml:space="preserve">The Spending Paradox: More Money, Less Safety?</w:t>
      </w:r>
    </w:p>
    <w:p>
      <w:pPr>
        <w:spacing w:after="160" w:before="80" w:line="276"/>
        <w:jc w:val="both"/>
      </w:pPr>
      <w:r>
        <w:rPr>
          <w:rFonts w:ascii="Georgia" w:cs="Georgia" w:eastAsia="Georgia" w:hAnsi="Georgia"/>
          <w:color w:val="1A1A1A"/>
          <w:sz w:val="22"/>
          <w:szCs w:val="22"/>
        </w:rPr>
        <w:t xml:space="preserve">Nigeria's 15-year defence expenditure record presents a troubling paradox. Between 2011 and 2026, the country channelled approximately ₦32.88 trillion into its armed forces and security apparatus — representing roughly 12.5 percent of total national budgets over the period. Measured in dollar terms at prevailing official exchange rates, the figure equates to approximately $44.6 billion. Despite this sustained investment, the security situation has deteriorated in nearly every measurable dimension: insurgency in the northeast, organised banditry and mass kidnappings in the northwest, herder-farmer clashes in the Middle Belt, separatist agitation in the southeast, and pipeline sabotage and militant activity in the Niger Delta.</w:t>
      </w:r>
    </w:p>
    <w:p>
      <w:pPr>
        <w:spacing w:after="160" w:before="80" w:line="276"/>
        <w:jc w:val="both"/>
      </w:pPr>
      <w:r>
        <w:rPr>
          <w:rFonts w:ascii="Georgia" w:cs="Georgia" w:eastAsia="Georgia" w:hAnsi="Georgia"/>
          <w:color w:val="1A1A1A"/>
          <w:sz w:val="22"/>
          <w:szCs w:val="22"/>
        </w:rPr>
        <w:t xml:space="preserve">Economists and security scholars point to several structural explanations. Procurement corruption remains endemic, with anecdotal and forensic evidence suggesting that a significant portion of defence appropriations is lost to contractor inflation, ghost personnel payrolls, and opaque intelligence budgets. Operational effectiveness is also constrained by inadequate logistics infrastructure, insufficient welfare provisions for frontline troops, and limited inter-agency intelligence-sharing. The proposed ₦5.41 trillion for 2026 — reduced from the prior year's allocation — does little to address these systemic inefficiencies.</w:t>
      </w:r>
    </w:p>
    <w:p>
      <w:pPr>
        <w:spacing w:after="160" w:before="80" w:line="276"/>
        <w:jc w:val="both"/>
      </w:pPr>
      <w:r>
        <w:rPr>
          <w:rFonts w:ascii="Georgia" w:cs="Georgia" w:eastAsia="Georgia" w:hAnsi="Georgia"/>
          <w:color w:val="1A1A1A"/>
          <w:sz w:val="22"/>
          <w:szCs w:val="22"/>
        </w:rPr>
        <w:t xml:space="preserve">Projections for the year ahead remain mixed. The Menas Associates security outlook warned that 2026 is likely to see Nigeria's security situation deteriorate further, citing pre-election political tensions, the jailing of IPOB leader Nnamdi Kanu as a potential trigger for violence in the southeast, and the growing attractiveness of Nigerian territory to Sahel-based jihadist networks. These dynamics converge against a fiscal backdrop in which debt servicing — at ₦15.52 trillion — is consuming more than half of projected government revenue before a single naira reaches classrooms, hospitals, or security operations.</w:t>
      </w:r>
    </w:p>
    <w:p>
      <w:pPr>
        <w:pStyle w:val="Heading2"/>
        <w:spacing w:after="100" w:before="200"/>
      </w:pPr>
      <w:r>
        <w:rPr>
          <w:rFonts w:ascii="Arial" w:cs="Arial" w:eastAsia="Arial" w:hAnsi="Arial"/>
          <w:b/>
          <w:bCs/>
          <w:color w:val="C0392B"/>
          <w:sz w:val="26"/>
          <w:szCs w:val="26"/>
        </w:rPr>
        <w:t xml:space="preserve">What Comes Next</w:t>
      </w:r>
    </w:p>
    <w:p>
      <w:pPr>
        <w:spacing w:after="160" w:before="80" w:line="276"/>
        <w:jc w:val="both"/>
      </w:pPr>
      <w:r>
        <w:rPr>
          <w:rFonts w:ascii="Georgia" w:cs="Georgia" w:eastAsia="Georgia" w:hAnsi="Georgia"/>
          <w:color w:val="1A1A1A"/>
          <w:sz w:val="22"/>
          <w:szCs w:val="22"/>
        </w:rPr>
        <w:t xml:space="preserve">With the 2026 budget now gazetted at ₦68.323 trillion, attention turns to implementation. The House of Representatives is set to continue scrutiny of defence sub-allocations, focusing on troop welfare, intelligence operations, and procurement frameworks. Civil society groups have called for the National Assembly to hold extraordinary sessions to review the ₦9.3 trillion supplementary addition that was passed without debate, arguing that fiscal transparency demands a public accounting of the specific projects the revision is intended to fund.</w:t>
      </w:r>
    </w:p>
    <w:p>
      <w:pPr>
        <w:spacing w:after="160" w:before="80" w:line="276"/>
        <w:jc w:val="both"/>
      </w:pPr>
      <w:r>
        <w:rPr>
          <w:rFonts w:ascii="Georgia" w:cs="Georgia" w:eastAsia="Georgia" w:hAnsi="Georgia"/>
          <w:color w:val="1A1A1A"/>
          <w:sz w:val="22"/>
          <w:szCs w:val="22"/>
        </w:rPr>
        <w:t xml:space="preserve">President Tinubu, in his New Year address, declared that 2026 would mark the beginning of a "more robust phase of economic growth" for Nigeria. Whether that growth reaches ordinary Nigerians — particularly those in the 3,900 displacement camps scattered across the country's conflict zones — will depend less on the headline budget figure than on the willingness to prosecute accountability reforms within the security sector and the honesty to acknowledge that spending alone, without structural transformation, cannot buy peace.</w:t>
      </w:r>
    </w:p>
    <w:p>
      <w:pPr>
        <w:spacing w:after="100" w:before="200"/>
      </w:pPr>
    </w:p>
    <w:p>
      <w:pPr>
        <w:pBdr>
          <w:bottom w:val="single" w:color="C0392B" w:sz="6" w:space="1"/>
        </w:pBdr>
        <w:spacing w:after="0" w:before="0"/>
      </w:pPr>
    </w:p>
    <w:p>
      <w:pPr>
        <w:spacing w:after="60" w:before="120"/>
        <w:jc w:val="center"/>
      </w:pPr>
      <w:r>
        <w:rPr>
          <w:rFonts w:ascii="Arial" w:cs="Arial" w:eastAsia="Arial" w:hAnsi="Arial"/>
          <w:b/>
          <w:bCs/>
          <w:color w:val="555555"/>
          <w:sz w:val="18"/>
          <w:szCs w:val="18"/>
        </w:rPr>
        <w:t xml:space="preserve">— END —</w:t>
      </w:r>
    </w:p>
    <w:p>
      <w:pPr>
        <w:spacing w:after="120" w:before="0"/>
        <w:jc w:val="center"/>
      </w:pPr>
      <w:r>
        <w:rPr>
          <w:rFonts w:ascii="Arial" w:cs="Arial" w:eastAsia="Arial" w:hAnsi="Arial"/>
          <w:i/>
          <w:iCs/>
          <w:color w:val="555555"/>
          <w:sz w:val="17"/>
          <w:szCs w:val="17"/>
        </w:rPr>
        <w:t xml:space="preserve">Thought Media Network  |  thoughtmedianetwork.com  |  April 3, 2026</w:t>
      </w:r>
    </w:p>
    <w:sectPr>
      <w:headerReference w:type="default" r:id="rId7"/>
      <w:footerReference w:type="default" r:id="rId8"/>
      <w:pgSz w:w="12240" w:h="15840" w:orient="portrait"/>
      <w:pgMar w:top="1080" w:right="1440" w:bottom="108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DDDD" w:sz="4" w:space="1"/>
      </w:pBdr>
      <w:tabs>
        <w:tab w:val="right" w:pos="9360"/>
      </w:tabs>
      <w:spacing w:after="0" w:before="120"/>
    </w:pPr>
    <w:r>
      <w:rPr>
        <w:rFonts w:ascii="Arial" w:cs="Arial" w:eastAsia="Arial" w:hAnsi="Arial"/>
        <w:color w:val="555555"/>
        <w:sz w:val="16"/>
        <w:szCs w:val="16"/>
      </w:rPr>
      <w:t xml:space="preserve">© Thought Media Network 2026  |  thoughtmedianetwork.com</w:t>
    </w:r>
    <w:r>
      <w:rPr>
        <w:rFonts w:ascii="Arial" w:cs="Arial" w:eastAsia="Arial" w:hAnsi="Arial"/>
        <w:color w:val="555555"/>
        <w:sz w:val="16"/>
        <w:szCs w:val="16"/>
      </w:rPr>
      <w:t xml:space="preserve">	Page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0392B" w:sz="8" w:space="1"/>
      </w:pBdr>
      <w:spacing w:after="160" w:before="0"/>
    </w:pPr>
    <w:r>
      <w:rPr>
        <w:rFonts w:ascii="Arial" w:cs="Arial" w:eastAsia="Arial" w:hAnsi="Arial"/>
        <w:b/>
        <w:bCs/>
        <w:color w:val="C0392B"/>
        <w:sz w:val="28"/>
        <w:szCs w:val="28"/>
      </w:rPr>
      <w:t xml:space="preserve">THOUGHT MEDIA NETWORK</w:t>
    </w:r>
    <w:r>
      <w:rPr>
        <w:rFonts w:ascii="Arial" w:cs="Arial" w:eastAsia="Arial" w:hAnsi="Arial"/>
        <w:color w:val="555555"/>
        <w:sz w:val="22"/>
        <w:szCs w:val="22"/>
      </w:rPr>
      <w:t xml:space="preserve">   |   NEWS DISPATCH</w:t>
    </w:r>
    <w:r>
      <w:rPr>
        <w:rFonts w:ascii="Arial" w:cs="Arial" w:eastAsia="Arial" w:hAnsi="Arial"/>
        <w:color w:val="555555"/>
        <w:sz w:val="20"/>
        <w:szCs w:val="20"/>
      </w:rPr>
      <w:t xml:space="preserve">   |   APRIL 3, 2026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color w:val="1A1A1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240"/>
      <w:outlineLvl w:val="0"/>
    </w:pPr>
    <w:rPr>
      <w:rFonts w:ascii="Arial" w:cs="Arial" w:eastAsia="Arial" w:hAnsi="Arial"/>
      <w:b/>
      <w:bCs/>
      <w:color w:val="1A1A1A"/>
      <w:sz w:val="36"/>
      <w:szCs w:val="36"/>
    </w:rPr>
  </w:style>
  <w:style w:type="paragraph" w:styleId="Heading2">
    <w:name w:val="Heading 2"/>
    <w:basedOn w:val="Normal"/>
    <w:next w:val="Normal"/>
    <w:qFormat/>
    <w:pPr>
      <w:spacing w:after="80" w:before="200"/>
      <w:outlineLvl w:val="1"/>
    </w:pPr>
    <w:rPr>
      <w:rFonts w:ascii="Arial" w:cs="Arial" w:eastAsia="Arial" w:hAnsi="Arial"/>
      <w:b/>
      <w:bCs/>
      <w:color w:val="C0392B"/>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2026-04-03T02:55:09.306Z</dcterms:created>
  <dcterms:modified xsi:type="dcterms:W3CDTF">2026-04-03T02:55:09.307Z</dcterms:modified>
</cp:coreProperties>
</file>

<file path=docProps/custom.xml><?xml version="1.0" encoding="utf-8"?>
<Properties xmlns="http://schemas.openxmlformats.org/officeDocument/2006/custom-properties" xmlns:vt="http://schemas.openxmlformats.org/officeDocument/2006/docPropsVTypes"/>
</file>