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C8960C" w:sz="6" w:space="4"/>
        </w:pBdr>
        <w:spacing w:after="140" w:before="0"/>
        <w:jc w:val="center"/>
      </w:pPr>
      <w:r>
        <w:rPr>
          <w:rFonts w:ascii="Arial" w:cs="Arial" w:eastAsia="Arial" w:hAnsi="Arial"/>
          <w:b/>
          <w:bCs/>
          <w:caps/>
          <w:color w:val="000000"/>
          <w:sz w:val="36"/>
          <w:szCs w:val="36"/>
        </w:rPr>
        <w:t xml:space="preserve">THOUGHT MEDIA NETWORK</w:t>
      </w:r>
    </w:p>
    <w:p>
      <w:pPr>
        <w:spacing w:after="60" w:before="0"/>
        <w:jc w:val="center"/>
      </w:pPr>
      <w:r>
        <w:rPr>
          <w:rFonts w:ascii="Arial" w:cs="Arial" w:eastAsia="Arial" w:hAnsi="Arial"/>
          <w:i/>
          <w:iCs/>
          <w:color w:val="888888"/>
          <w:sz w:val="18"/>
          <w:szCs w:val="18"/>
        </w:rPr>
        <w:t xml:space="preserve">Independent Journalism  |  Analysis  |  Accountability</w:t>
      </w:r>
    </w:p>
    <w:p>
      <w:pPr>
        <w:pBdr>
          <w:bottom w:val="single" w:color="DDDDDD" w:sz="2" w:space="6"/>
        </w:pBdr>
        <w:spacing w:after="340" w:before="0"/>
        <w:jc w:val="center"/>
      </w:pPr>
      <w:r>
        <w:rPr>
          <w:rFonts w:ascii="Arial" w:cs="Arial" w:eastAsia="Arial" w:hAnsi="Arial"/>
          <w:color w:val="888888"/>
          <w:sz w:val="17"/>
          <w:szCs w:val="17"/>
        </w:rPr>
        <w:t xml:space="preserve">Friday, 3 April 2026  |  Abuja, Nigeria</w:t>
      </w:r>
    </w:p>
    <w:p>
      <w:pPr>
        <w:spacing w:after="100" w:before="0"/>
      </w:pPr>
      <w:r>
        <w:rPr>
          <w:rFonts w:ascii="Arial" w:cs="Arial" w:eastAsia="Arial" w:hAnsi="Arial"/>
          <w:b/>
          <w:bCs/>
          <w:caps/>
          <w:color w:val="C0392B"/>
          <w:sz w:val="18"/>
          <w:szCs w:val="18"/>
        </w:rPr>
        <w:t xml:space="preserve">● SECURITY WATCH  |  SAHEL &amp; HORN OF AFRICA</w:t>
      </w:r>
    </w:p>
    <w:p>
      <w:pPr>
        <w:spacing w:after="180" w:before="0"/>
        <w:jc w:val="left"/>
      </w:pPr>
      <w:r>
        <w:rPr>
          <w:rFonts w:ascii="Georgia" w:cs="Georgia" w:eastAsia="Georgia" w:hAnsi="Georgia"/>
          <w:b/>
          <w:bCs/>
          <w:color w:val="000000"/>
          <w:sz w:val="52"/>
          <w:szCs w:val="52"/>
        </w:rPr>
        <w:t xml:space="preserve">Drone Strikes, Border Closure and the Brink of War: Inside the Escalating Chad–Sudan Crisis</w:t>
      </w:r>
    </w:p>
    <w:p>
      <w:pPr>
        <w:pBdr>
          <w:left w:val="single" w:color="C0392B" w:sz="18" w:space="12"/>
        </w:pBdr>
        <w:spacing w:after="300" w:before="0"/>
        <w:ind w:left="240"/>
      </w:pPr>
      <w:r>
        <w:rPr>
          <w:rFonts w:ascii="Georgia" w:cs="Georgia" w:eastAsia="Georgia" w:hAnsi="Georgia"/>
          <w:i/>
          <w:iCs/>
          <w:color w:val="333333"/>
          <w:sz w:val="26"/>
          <w:szCs w:val="26"/>
        </w:rPr>
        <w:t xml:space="preserve">Sudan’s civil war has crossed its borders. A succession of deadly drone strikes and armed incursions into Chadian territory has pushed N’Djamena to close its frontier, place its army on maximum alert, and authorise retaliation — raising fears of a bilateral confrontation between two asymmetrically matched but battle-hardened neighbours. TMN reconstructs the crisis timeline and compares the military balance.</w:t>
      </w:r>
    </w:p>
    <w:p>
      <w:pPr>
        <w:pBdr>
          <w:bottom w:val="single" w:color="EEEEEE" w:sz="2" w:space="6"/>
        </w:pBdr>
        <w:spacing w:after="300" w:before="0"/>
      </w:pPr>
      <w:r>
        <w:rPr>
          <w:rFonts w:ascii="Arial" w:cs="Arial" w:eastAsia="Arial" w:hAnsi="Arial"/>
          <w:b/>
          <w:bCs/>
          <w:color w:val="333333"/>
          <w:sz w:val="19"/>
          <w:szCs w:val="19"/>
        </w:rPr>
        <w:t xml:space="preserve">By TMN Security &amp; Analysis Desk   |   </w:t>
      </w:r>
      <w:r>
        <w:rPr>
          <w:rFonts w:ascii="Arial" w:cs="Arial" w:eastAsia="Arial" w:hAnsi="Arial"/>
          <w:color w:val="888888"/>
          <w:sz w:val="19"/>
          <w:szCs w:val="19"/>
        </w:rPr>
        <w:t xml:space="preserve">Abuja / N’Djamena   |   </w:t>
      </w:r>
      <w:r>
        <w:rPr>
          <w:rFonts w:ascii="Arial" w:cs="Arial" w:eastAsia="Arial" w:hAnsi="Arial"/>
          <w:color w:val="888888"/>
          <w:sz w:val="19"/>
          <w:szCs w:val="19"/>
        </w:rPr>
        <w:t xml:space="preserve">3 April 2026</w:t>
      </w:r>
    </w:p>
    <w:p>
      <w:pPr>
        <w:spacing w:after="160" w:before="0"/>
      </w:pPr>
      <w:r>
        <w:rPr>
          <w:rFonts w:ascii="Arial" w:cs="Arial" w:eastAsia="Arial" w:hAnsi="Arial"/>
          <w:b/>
          <w:bCs/>
          <w:caps/>
          <w:color w:val="1A3A5C"/>
          <w:sz w:val="26"/>
          <w:szCs w:val="26"/>
        </w:rPr>
        <w:t xml:space="preserve">PART I: CRISIS TIMELINE — LATEST DEVELOPMENTS</w:t>
      </w:r>
    </w:p>
    <w:p>
      <w:pPr>
        <w:spacing w:after="240" w:before="0" w:line="360"/>
        <w:jc w:val="both"/>
      </w:pPr>
      <w:r>
        <w:rPr>
          <w:rFonts w:ascii="Arial" w:cs="Arial" w:eastAsia="Arial" w:hAnsi="Arial"/>
          <w:b/>
          <w:bCs/>
          <w:caps/>
          <w:color w:val="000000"/>
          <w:sz w:val="22"/>
          <w:szCs w:val="22"/>
        </w:rPr>
        <w:t xml:space="preserve">N’DJAMENA / KHARTOUM — </w:t>
      </w:r>
      <w:r>
        <w:rPr>
          <w:rFonts w:ascii="Georgia" w:cs="Georgia" w:eastAsia="Georgia" w:hAnsi="Georgia"/>
          <w:color w:val="333333"/>
          <w:sz w:val="22"/>
          <w:szCs w:val="22"/>
        </w:rPr>
        <w:t xml:space="preserve">What began three years ago as a catastrophic civil war between Sudan’s regular armed forces (SAF) and the paramilitary Rapid Support Forces (RSF) has transformed, by early 2026, into a cross-border emergency that directly threatens the sovereignty and stability of neighbouring Chad. A series of deadly escalations since late December 2025 has brought the two countries to the edge of open confrontation — a development with potentially sweeping consequences for the wider Sahel.</w:t>
      </w:r>
    </w:p>
    <w:p>
      <w:pPr>
        <w:pBdr>
          <w:left w:val="single" w:color="C0392B" w:sz="18" w:space="10"/>
        </w:pBdr>
        <w:spacing w:after="140" w:before="380"/>
        <w:ind w:left="200"/>
      </w:pPr>
      <w:r>
        <w:rPr>
          <w:rFonts w:ascii="Arial" w:cs="Arial" w:eastAsia="Arial" w:hAnsi="Arial"/>
          <w:b/>
          <w:bCs/>
          <w:caps/>
          <w:color w:val="000000"/>
          <w:sz w:val="24"/>
          <w:szCs w:val="24"/>
        </w:rPr>
        <w:t xml:space="preserve">December 2025 – January 2026: The First Shots</w:t>
      </w:r>
    </w:p>
    <w:p>
      <w:pPr>
        <w:spacing w:after="240" w:before="0" w:line="360"/>
        <w:jc w:val="both"/>
      </w:pPr>
      <w:r>
        <w:rPr>
          <w:rFonts w:ascii="Georgia" w:cs="Georgia" w:eastAsia="Georgia" w:hAnsi="Georgia"/>
          <w:color w:val="333333"/>
          <w:sz w:val="22"/>
          <w:szCs w:val="22"/>
        </w:rPr>
        <w:t xml:space="preserve">The immediate crisis began in late December 2025, when a drone originating from Sudanese territory struck a Chadian army camp, killing two soldiers. The strike was a harbinger. On 15 January 2026, RSF fighters crossed the porous 1,400-kilometre Chad-Sudan border during a fierce battle in the Jargeira area near Tine — a frontier town where the RSF was attempting to dislodge the last SAF-aligned pocket in western Sudan. Seven Chadian soldiers were killed. The RSF claimed its forces had unknowingly pursued retreating enemy units across the border; Chadian officials dismissed this as a pretext, describing the incursion as “premeditated.”</w:t>
      </w:r>
    </w:p>
    <w:p>
      <w:pPr>
        <w:spacing w:after="240" w:before="0" w:line="360"/>
        <w:jc w:val="both"/>
      </w:pPr>
      <w:r>
        <w:rPr>
          <w:rFonts w:ascii="Georgia" w:cs="Georgia" w:eastAsia="Georgia" w:hAnsi="Georgia"/>
          <w:color w:val="333333"/>
          <w:sz w:val="22"/>
          <w:szCs w:val="22"/>
        </w:rPr>
        <w:t xml:space="preserve">The attack placed President Mahamat Idriss Déby in an acutely difficult position. Zaghawa communities — ethnically linked to Déby’s own political base — straddle both sides of the border and have been subject to RSF atrocities in Darfur. At the same time, the UAE, a key backer of the RSF, had long relied on Chadian territory as a transit route for weapons shipments. Chadian security officials, according to reporting by the Critical Threats Project, had already begun criticising Déby for accommodating this arrangement, and Chad had quietly scaled back its facilitation of RSF supply lines in 2025 — forcing the UAE to reroute deliveries through Libya.</w:t>
      </w:r>
    </w:p>
    <w:p>
      <w:pPr>
        <w:pBdr>
          <w:left w:val="single" w:color="C0392B" w:sz="18" w:space="10"/>
        </w:pBdr>
        <w:spacing w:after="140" w:before="380"/>
        <w:ind w:left="200"/>
      </w:pPr>
      <w:r>
        <w:rPr>
          <w:rFonts w:ascii="Arial" w:cs="Arial" w:eastAsia="Arial" w:hAnsi="Arial"/>
          <w:b/>
          <w:bCs/>
          <w:caps/>
          <w:color w:val="000000"/>
          <w:sz w:val="24"/>
          <w:szCs w:val="24"/>
        </w:rPr>
        <w:t xml:space="preserve">February 2026: Border Closure</w:t>
      </w:r>
    </w:p>
    <w:p>
      <w:pPr>
        <w:spacing w:after="240" w:before="0" w:line="360"/>
        <w:jc w:val="both"/>
      </w:pPr>
      <w:r>
        <w:rPr>
          <w:rFonts w:ascii="Georgia" w:cs="Georgia" w:eastAsia="Georgia" w:hAnsi="Georgia"/>
          <w:color w:val="333333"/>
          <w:sz w:val="22"/>
          <w:szCs w:val="22"/>
        </w:rPr>
        <w:t xml:space="preserve">The crisis deepened sharply in late February when fighting between RSF and SAF-aligned forces in Tine spilt directly into Chadian territory, killing five Chadian soldiers and three civilians and wounding twelve more on 21 February. N’Djamena’s response was swift. On 23 February, Communications Minister Mahamat Gassim Cherif announced the total and immediate closure of the eastern border with Sudan, citing “repeated incursions and violations” by both warring factions.</w:t>
      </w:r>
    </w:p>
    <w:p>
      <w:pPr>
        <w:spacing w:after="240" w:before="0" w:line="360"/>
        <w:jc w:val="both"/>
      </w:pPr>
      <w:r>
        <w:rPr>
          <w:rFonts w:ascii="Georgia" w:cs="Georgia" w:eastAsia="Georgia" w:hAnsi="Georgia"/>
          <w:color w:val="333333"/>
          <w:sz w:val="22"/>
          <w:szCs w:val="22"/>
        </w:rPr>
        <w:t xml:space="preserve">The closure of the Adre crossing — previously the primary humanitarian escape route from Darfur — had devastating downstream consequences. Thousands of displaced Sudanese civilians were left stranded in the open desert without food, water, or shelter. Inside Sudan, the price of basic goods in Darfur’s internal markets surged immediately: a sack of flour reportedly jumped from 150,000 to 250,000 Sudanese pounds within days, while fuel prices tripled. Humanitarian organisations including MSF and the IFRC were forced to severely curtail operations.</w:t>
      </w:r>
    </w:p>
    <w:p>
      <w:pPr>
        <w:pBdr>
          <w:top w:val="single" w:color="C8960C" w:sz="12" w:space="8"/>
          <w:bottom w:val="single" w:color="C8960C" w:sz="12" w:space="8"/>
        </w:pBdr>
        <w:spacing w:after="300" w:before="300"/>
        <w:ind w:left="520" w:right="520"/>
        <w:jc w:val="center"/>
      </w:pPr>
      <w:r>
        <w:rPr>
          <w:rFonts w:ascii="Georgia" w:cs="Georgia" w:eastAsia="Georgia" w:hAnsi="Georgia"/>
          <w:i/>
          <w:iCs/>
          <w:color w:val="555555"/>
          <w:sz w:val="27"/>
          <w:szCs w:val="27"/>
        </w:rPr>
        <w:t xml:space="preserve">“Not a single kilometre of the border escapes our control.”
— Mahamat Gassim Cherif, Chadian Minister of Communication</w:t>
      </w:r>
    </w:p>
    <w:p>
      <w:pPr>
        <w:spacing w:after="240" w:before="0" w:line="360"/>
        <w:jc w:val="both"/>
      </w:pPr>
      <w:r>
        <w:rPr>
          <w:rFonts w:ascii="Georgia" w:cs="Georgia" w:eastAsia="Georgia" w:hAnsi="Georgia"/>
          <w:color w:val="333333"/>
          <w:sz w:val="22"/>
          <w:szCs w:val="22"/>
        </w:rPr>
        <w:t xml:space="preserve">Chad also reinforced its border militarily, deploying more than 15,000 soldiers from the Chadian Army and a newly established Joint Force with eastern Libyan commander Khalifa Haftar’s forces — an arrangement formalised in November 2025 — along the full length of the frontier. Despite this, the Armed Conflict Location and Event Data (ACLED) project recorded 198 separate strikes by both Sudanese belligerents in the first two months of 2026 alone, at least 52 of which caused civilian casualties.</w:t>
      </w:r>
    </w:p>
    <w:p>
      <w:pPr>
        <w:pBdr>
          <w:left w:val="single" w:color="C0392B" w:sz="18" w:space="10"/>
        </w:pBdr>
        <w:spacing w:after="140" w:before="380"/>
        <w:ind w:left="200"/>
      </w:pPr>
      <w:r>
        <w:rPr>
          <w:rFonts w:ascii="Arial" w:cs="Arial" w:eastAsia="Arial" w:hAnsi="Arial"/>
          <w:b/>
          <w:bCs/>
          <w:caps/>
          <w:color w:val="000000"/>
          <w:sz w:val="24"/>
          <w:szCs w:val="24"/>
        </w:rPr>
        <w:t xml:space="preserve">March 2026: Drone Strike on a Funeral, Deby Orders Retaliation</w:t>
      </w:r>
    </w:p>
    <w:p>
      <w:pPr>
        <w:spacing w:after="240" w:before="0" w:line="360"/>
        <w:jc w:val="both"/>
      </w:pPr>
      <w:r>
        <w:rPr>
          <w:rFonts w:ascii="Georgia" w:cs="Georgia" w:eastAsia="Georgia" w:hAnsi="Georgia"/>
          <w:color w:val="333333"/>
          <w:sz w:val="22"/>
          <w:szCs w:val="22"/>
        </w:rPr>
        <w:t xml:space="preserve">The crisis reached its gravest point on 18 March 2026, when a drone launched from Sudanese territory struck a gathering of mourners attending a funeral in the border town of Tine. Chadian authorities confirmed 17 civilians killed, including children who had been playing nearby when the drone struck twice in quick succession. MSF teams treated 24 people with severe injuries at their Tine facility.</w:t>
      </w:r>
    </w:p>
    <w:p>
      <w:pPr>
        <w:spacing w:after="240" w:before="0" w:line="360"/>
        <w:jc w:val="both"/>
      </w:pPr>
      <w:r>
        <w:rPr>
          <w:rFonts w:ascii="Georgia" w:cs="Georgia" w:eastAsia="Georgia" w:hAnsi="Georgia"/>
          <w:color w:val="333333"/>
          <w:sz w:val="22"/>
          <w:szCs w:val="22"/>
        </w:rPr>
        <w:t xml:space="preserve">President Déby’s response was the most forceful yet. Appearing in military fatigues before an emergency session of the Defence and Security Council at the Palais Toumaï, he characterised the strike as “outrageous and excessive aggression” against Chad’s territorial integrity. He immediately ordered the national army onto maximum alert and authorised retaliation against any further attacks originating from Sudanese territory — a standing order applicable to both the SAF and the RSF. The government simultaneously ordered a total and immediate closure of all remaining crossings along the 1,300-kilometre border, including those that had previously been kept open for humanitarian exceptions.</w:t>
      </w:r>
    </w:p>
    <w:p>
      <w:pPr>
        <w:spacing w:after="240" w:before="0" w:line="360"/>
        <w:jc w:val="both"/>
      </w:pPr>
      <w:r>
        <w:rPr>
          <w:rFonts w:ascii="Georgia" w:cs="Georgia" w:eastAsia="Georgia" w:hAnsi="Georgia"/>
          <w:color w:val="333333"/>
          <w:sz w:val="22"/>
          <w:szCs w:val="22"/>
        </w:rPr>
        <w:t xml:space="preserve">Neither the SAF nor the RSF has formally accepted responsibility for the March 18 strike. The RSF denied involvement on Telegram, blaming the Sudanese army. MSF has documented strikes from both sides hitting civilian areas along the Chad-Sudan border since early February. The broader war has now produced one of the worst humanitarian crises in modern African history: more than 14 million Sudanese displaced, famine officially confirmed in Darfur’s El Fasher and South Kordofan’s Kadugli, and 70 percent of hospitals in conflict zones rendered non-functional.</w:t>
      </w:r>
    </w:p>
    <w:p>
      <w:pPr>
        <w:spacing w:after="240" w:before="0" w:line="360"/>
        <w:jc w:val="both"/>
      </w:pPr>
      <w:r>
        <w:rPr>
          <w:rFonts w:ascii="Georgia" w:cs="Georgia" w:eastAsia="Georgia" w:hAnsi="Georgia"/>
          <w:color w:val="333333"/>
          <w:sz w:val="22"/>
          <w:szCs w:val="22"/>
        </w:rPr>
        <w:t xml:space="preserve">As of this report, Chad’s army remains on maximum alert along the full eastern frontier. Diplomatic efforts — including a reported visit by RSF deputy commander Abdel Rahim Dagalo to N’Djamena in January to ease tensions — have so far failed to produce a durable ceasefire or accountability mechanism. A “Quartet” of the US, Saudi Arabia, UAE, and Egypt is currently circulating a new ceasefire roadmap, though the SAF boycotted Berlin talks in March, and both warring parties continue to strike across the border.</w:t>
      </w:r>
    </w:p>
    <w:p>
      <w:pPr>
        <w:spacing w:after="280" w:before="0"/>
      </w:pPr>
    </w:p>
    <w:p>
      <w:pPr>
        <w:pBdr>
          <w:top w:val="single" w:color="CCCCCC" w:sz="4" w:space="8"/>
        </w:pBdr>
        <w:spacing w:after="160" w:before="80"/>
      </w:pPr>
      <w:r>
        <w:rPr>
          <w:rFonts w:ascii="Arial" w:cs="Arial" w:eastAsia="Arial" w:hAnsi="Arial"/>
          <w:b/>
          <w:bCs/>
          <w:caps/>
          <w:color w:val="1A3A5C"/>
          <w:sz w:val="26"/>
          <w:szCs w:val="26"/>
        </w:rPr>
        <w:t xml:space="preserve">PART II: MILITARY BALANCE — CHAD VS. SUDAN</w:t>
      </w:r>
    </w:p>
    <w:p>
      <w:pPr>
        <w:spacing w:after="240" w:before="0" w:line="360"/>
        <w:jc w:val="both"/>
      </w:pPr>
      <w:r>
        <w:rPr>
          <w:rFonts w:ascii="Georgia" w:cs="Georgia" w:eastAsia="Georgia" w:hAnsi="Georgia"/>
          <w:color w:val="333333"/>
          <w:sz w:val="22"/>
          <w:szCs w:val="22"/>
        </w:rPr>
        <w:t xml:space="preserve">Against the backdrop of this escalating crisis, TMN assesses the military balance between the two states. The comparison is instructive — and complicated. On raw metrics, Sudan holds a decisive quantitative advantage. On operational readiness, financial sustainability, and the realities of an army fighting itself, the picture is considerably more nuanced.</w:t>
      </w:r>
    </w:p>
    <w:p>
      <w:pPr>
        <w:spacing w:after="10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4"/>
              <w:left w:val="single" w:color="CCCCCC" w:sz="4"/>
              <w:bottom w:val="single" w:color="CCCCCC" w:sz="4"/>
              <w:right w:val="single" w:color="CCCCCC" w:sz="4"/>
            </w:tcBorders>
            <w:shd w:fill="333333" w:val="clear"/>
            <w:tcMar>
              <w:top w:type="dxa" w:w="100"/>
              <w:left w:type="dxa" w:w="140"/>
              <w:bottom w:type="dxa" w:w="100"/>
              <w:right w:type="dxa" w:w="140"/>
            </w:tcMar>
          </w:tcPr>
          <w:p>
            <w:pPr>
              <w:jc w:val="center"/>
            </w:pPr>
            <w:r>
              <w:rPr>
                <w:rFonts w:ascii="Arial" w:cs="Arial" w:eastAsia="Arial" w:hAnsi="Arial"/>
                <w:b/>
                <w:bCs/>
                <w:color w:val="FFFFFF"/>
                <w:sz w:val="20"/>
                <w:szCs w:val="20"/>
              </w:rPr>
              <w:t xml:space="preserve">CATEGORY</w:t>
            </w:r>
          </w:p>
        </w:tc>
        <w:tc>
          <w:tcPr>
            <w:tcW w:type="dxa" w:w="3120"/>
            <w:tcBorders>
              <w:top w:val="single" w:color="CCCCCC" w:sz="4"/>
              <w:left w:val="single" w:color="CCCCCC" w:sz="4"/>
              <w:bottom w:val="single" w:color="CCCCCC" w:sz="4"/>
              <w:right w:val="single" w:color="CCCCCC" w:sz="4"/>
            </w:tcBorders>
            <w:shd w:fill="1A3A5C" w:val="clear"/>
            <w:tcMar>
              <w:top w:type="dxa" w:w="100"/>
              <w:left w:type="dxa" w:w="140"/>
              <w:bottom w:type="dxa" w:w="100"/>
              <w:right w:type="dxa" w:w="140"/>
            </w:tcMar>
          </w:tcPr>
          <w:p>
            <w:pPr>
              <w:jc w:val="center"/>
            </w:pPr>
            <w:r>
              <w:rPr>
                <w:rFonts w:ascii="Arial" w:cs="Arial" w:eastAsia="Arial" w:hAnsi="Arial"/>
                <w:b/>
                <w:bCs/>
                <w:color w:val="FFFFFF"/>
                <w:sz w:val="20"/>
                <w:szCs w:val="20"/>
              </w:rPr>
              <w:t xml:space="preserve">CHAD</w:t>
            </w:r>
          </w:p>
        </w:tc>
        <w:tc>
          <w:tcPr>
            <w:tcW w:type="dxa" w:w="3120"/>
            <w:tcBorders>
              <w:top w:val="single" w:color="CCCCCC" w:sz="4"/>
              <w:left w:val="single" w:color="CCCCCC" w:sz="4"/>
              <w:bottom w:val="single" w:color="CCCCCC" w:sz="4"/>
              <w:right w:val="single" w:color="CCCCCC" w:sz="4"/>
            </w:tcBorders>
            <w:shd w:fill="6E1A1A" w:val="clear"/>
            <w:tcMar>
              <w:top w:type="dxa" w:w="100"/>
              <w:left w:type="dxa" w:w="140"/>
              <w:bottom w:type="dxa" w:w="100"/>
              <w:right w:type="dxa" w:w="140"/>
            </w:tcMar>
          </w:tcPr>
          <w:p>
            <w:pPr>
              <w:jc w:val="center"/>
            </w:pPr>
            <w:r>
              <w:rPr>
                <w:rFonts w:ascii="Arial" w:cs="Arial" w:eastAsia="Arial" w:hAnsi="Arial"/>
                <w:b/>
                <w:bCs/>
                <w:color w:val="FFFFFF"/>
                <w:sz w:val="20"/>
                <w:szCs w:val="20"/>
              </w:rPr>
              <w:t xml:space="preserve">SUDAN</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GFP Global Rank (2026)</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#85 of 145</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#66 of 145</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GFP PwrIndx Score</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1.8594</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1.3563 ▲</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Active Military Personnel</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~45,000</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~144,000</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Defence Budget (annual)</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~$558 million ▲</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~$375 million</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Combat Aircraft</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9</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91</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Total Aircraft Strength</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~50</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~240+</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Main Battle Tanks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~90</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~224</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Armoured Vehicles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~450</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~3,200+</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Artillery Systems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Moderate (est.)</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Extensive (est.)</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Drone Capability</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Limited</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Active (Iranian-made / Turkish)</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External Partners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France, Libya (Haftar)</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Iran, Russia, Turkey (SAF)</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Naval Capacity</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None (landlocked)</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Riverine / coastal patrol</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Paramilitary Forces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Significant (est.)</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RSF ~100,000+ (est.)</w:t>
            </w:r>
          </w:p>
        </w:tc>
      </w:tr>
      <w:tr>
        <w:tc>
          <w:tcPr>
            <w:tcW w:type="dxa" w:w="3120"/>
            <w:tcBorders>
              <w:top w:val="single" w:color="DDDDDD" w:sz="4"/>
              <w:left w:val="single" w:color="DDDDDD" w:sz="4"/>
              <w:bottom w:val="single" w:color="DDDDDD" w:sz="4"/>
              <w:right w:val="single" w:color="DDDDDD" w:sz="4"/>
            </w:tcBorders>
            <w:shd w:fill="F4F4F4" w:val="clear"/>
            <w:tcMar>
              <w:top w:type="dxa" w:w="80"/>
              <w:left w:type="dxa" w:w="140"/>
              <w:bottom w:type="dxa" w:w="80"/>
              <w:right w:type="dxa" w:w="140"/>
            </w:tcMar>
          </w:tcPr>
          <w:p>
            <w:r>
              <w:rPr>
                <w:rFonts w:ascii="Arial" w:cs="Arial" w:eastAsia="Arial" w:hAnsi="Arial"/>
                <w:b/>
                <w:bCs/>
                <w:color w:val="000000"/>
                <w:sz w:val="19"/>
                <w:szCs w:val="19"/>
              </w:rPr>
              <w:t xml:space="preserve">Operational Status</w:t>
            </w:r>
          </w:p>
        </w:tc>
        <w:tc>
          <w:tcPr>
            <w:tcW w:type="dxa" w:w="3120"/>
            <w:tcBorders>
              <w:top w:val="single" w:color="DDDDDD" w:sz="4"/>
              <w:left w:val="single" w:color="DDDDDD" w:sz="4"/>
              <w:bottom w:val="single" w:color="DDDDDD" w:sz="4"/>
              <w:right w:val="single" w:color="DDDDDD" w:sz="4"/>
            </w:tcBorders>
            <w:shd w:fill="EAF0F6"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Stable; border high-alert</w:t>
            </w:r>
          </w:p>
        </w:tc>
        <w:tc>
          <w:tcPr>
            <w:tcW w:type="dxa" w:w="3120"/>
            <w:tcBorders>
              <w:top w:val="single" w:color="DDDDDD" w:sz="4"/>
              <w:left w:val="single" w:color="DDDDDD" w:sz="4"/>
              <w:bottom w:val="single" w:color="DDDDDD" w:sz="4"/>
              <w:right w:val="single" w:color="DDDDDD" w:sz="4"/>
            </w:tcBorders>
            <w:shd w:fill="FDECEA" w:val="clear"/>
            <w:tcMar>
              <w:top w:type="dxa" w:w="80"/>
              <w:left w:type="dxa" w:w="140"/>
              <w:bottom w:type="dxa" w:w="80"/>
              <w:right w:type="dxa" w:w="140"/>
            </w:tcMar>
          </w:tcPr>
          <w:p>
            <w:pPr>
              <w:jc w:val="center"/>
            </w:pPr>
            <w:r>
              <w:rPr>
                <w:rFonts w:ascii="Georgia" w:cs="Georgia" w:eastAsia="Georgia" w:hAnsi="Georgia"/>
                <w:color w:val="333333"/>
                <w:sz w:val="19"/>
                <w:szCs w:val="19"/>
              </w:rPr>
              <w:t xml:space="preserve">Active civil war (SAF vs RSF)</w:t>
            </w:r>
          </w:p>
        </w:tc>
      </w:tr>
    </w:tbl>
    <w:p>
      <w:pPr>
        <w:spacing w:after="320" w:before="120"/>
        <w:jc w:val="right"/>
      </w:pPr>
      <w:r>
        <w:rPr>
          <w:rFonts w:ascii="Arial" w:cs="Arial" w:eastAsia="Arial" w:hAnsi="Arial"/>
          <w:i/>
          <w:iCs/>
          <w:color w:val="888888"/>
          <w:sz w:val="16"/>
          <w:szCs w:val="16"/>
        </w:rPr>
        <w:t xml:space="preserve">Sources: Global Firepower (GFP) 2026; GlobalMilitary.net; ACLED; IISS; open-source intelligence.</w:t>
      </w:r>
    </w:p>
    <w:p>
      <w:pPr>
        <w:pBdr>
          <w:left w:val="single" w:color="1A3A5C" w:sz="18" w:space="10"/>
        </w:pBdr>
        <w:spacing w:after="140" w:before="380"/>
        <w:ind w:left="200"/>
      </w:pPr>
      <w:r>
        <w:rPr>
          <w:rFonts w:ascii="Arial" w:cs="Arial" w:eastAsia="Arial" w:hAnsi="Arial"/>
          <w:b/>
          <w:bCs/>
          <w:caps/>
          <w:color w:val="000000"/>
          <w:sz w:val="24"/>
          <w:szCs w:val="24"/>
        </w:rPr>
        <w:t xml:space="preserve">Manpower: Sudan’s Numerical Dominance</w:t>
      </w:r>
    </w:p>
    <w:p>
      <w:pPr>
        <w:spacing w:after="240" w:before="0" w:line="360"/>
        <w:jc w:val="both"/>
      </w:pPr>
      <w:r>
        <w:rPr>
          <w:rFonts w:ascii="Georgia" w:cs="Georgia" w:eastAsia="Georgia" w:hAnsi="Georgia"/>
          <w:color w:val="333333"/>
          <w:sz w:val="22"/>
          <w:szCs w:val="22"/>
        </w:rPr>
        <w:t xml:space="preserve">Sudan’s Sudanese Armed Forces (SAF) field approximately 144,000 active military personnel — more than three times Chad’s standing force of 45,000. However, this figure is rendered misleading by the civil war’s fracture of the Sudanese military apparatus. The SAF’s nominal strength competes against the RSF’s estimated 100,000+ paramilitary fighters, meaning that Sudan’s real state military is currently engaged in full-spectrum warfare on multiple fronts, with a significant portion of its hardware destroyed, captured, or degraded since April 2023. Against this backdrop, Chad’s 45,000-strong force — while smaller — is cohesive, operationally intact, and commanded by a unified chain of command.</w:t>
      </w:r>
    </w:p>
    <w:p>
      <w:pPr>
        <w:pBdr>
          <w:left w:val="single" w:color="1A3A5C" w:sz="18" w:space="10"/>
        </w:pBdr>
        <w:spacing w:after="140" w:before="380"/>
        <w:ind w:left="200"/>
      </w:pPr>
      <w:r>
        <w:rPr>
          <w:rFonts w:ascii="Arial" w:cs="Arial" w:eastAsia="Arial" w:hAnsi="Arial"/>
          <w:b/>
          <w:bCs/>
          <w:caps/>
          <w:color w:val="000000"/>
          <w:sz w:val="24"/>
          <w:szCs w:val="24"/>
        </w:rPr>
        <w:t xml:space="preserve">Airpower: An Asymmetric Divide</w:t>
      </w:r>
    </w:p>
    <w:p>
      <w:pPr>
        <w:spacing w:after="240" w:before="0" w:line="360"/>
        <w:jc w:val="both"/>
      </w:pPr>
      <w:r>
        <w:rPr>
          <w:rFonts w:ascii="Georgia" w:cs="Georgia" w:eastAsia="Georgia" w:hAnsi="Georgia"/>
          <w:color w:val="333333"/>
          <w:sz w:val="22"/>
          <w:szCs w:val="22"/>
        </w:rPr>
        <w:t xml:space="preserve">The most pronounced asymmetry between the two countries lies in airpower. Sudan operates 91 combat aircraft alongside a broader fleet totalling more than 240 platforms, including fighters, attack aircraft, and helicopters. Chad, by contrast, fields just 9 combat aircraft within an estimated total fleet of 50 platforms. This gap has direct tactical relevance: the drone strikes on Chadian territory demonstrate that Sudan’s belligerents have access to Iranian-manufactured drones, as well as platforms supplied or supported by Turkish and Russian military assistance. Chad currently lacks an equivalent strike-drone capability. Its air defence posture along the eastern border is therefore structurally exposed, a vulnerability that the March funeral strike illustrated with lethal clarity.</w:t>
      </w:r>
    </w:p>
    <w:p>
      <w:pPr>
        <w:pBdr>
          <w:left w:val="single" w:color="1A3A5C" w:sz="18" w:space="10"/>
        </w:pBdr>
        <w:spacing w:after="140" w:before="380"/>
        <w:ind w:left="200"/>
      </w:pPr>
      <w:r>
        <w:rPr>
          <w:rFonts w:ascii="Arial" w:cs="Arial" w:eastAsia="Arial" w:hAnsi="Arial"/>
          <w:b/>
          <w:bCs/>
          <w:caps/>
          <w:color w:val="000000"/>
          <w:sz w:val="24"/>
          <w:szCs w:val="24"/>
        </w:rPr>
        <w:t xml:space="preserve">Land Forces and Armour</w:t>
      </w:r>
    </w:p>
    <w:p>
      <w:pPr>
        <w:spacing w:after="240" w:before="0" w:line="360"/>
        <w:jc w:val="both"/>
      </w:pPr>
      <w:r>
        <w:rPr>
          <w:rFonts w:ascii="Georgia" w:cs="Georgia" w:eastAsia="Georgia" w:hAnsi="Georgia"/>
          <w:color w:val="333333"/>
          <w:sz w:val="22"/>
          <w:szCs w:val="22"/>
        </w:rPr>
        <w:t xml:space="preserve">Sudan’s land forces maintain a significant material advantage: approximately 224 main battle tanks against Chad’s estimated 90, and an armoured vehicle inventory estimated at more than 3,200 platforms compared to Chad’s 450. Artillery and MLRS systems similarly favour Sudan by a substantial margin. That said, much of Sudan’s heavier equipment has been attrited in three years of intense civil war, and large formations are unlikely to be deployable as conventional offensive units against a foreign adversary without significantly degrading their existing war effort.</w:t>
      </w:r>
    </w:p>
    <w:p>
      <w:pPr>
        <w:pBdr>
          <w:top w:val="single" w:color="C8960C" w:sz="12" w:space="8"/>
          <w:bottom w:val="single" w:color="C8960C" w:sz="12" w:space="8"/>
        </w:pBdr>
        <w:spacing w:after="300" w:before="300"/>
        <w:ind w:left="520" w:right="520"/>
        <w:jc w:val="center"/>
      </w:pPr>
      <w:r>
        <w:rPr>
          <w:rFonts w:ascii="Georgia" w:cs="Georgia" w:eastAsia="Georgia" w:hAnsi="Georgia"/>
          <w:i/>
          <w:iCs/>
          <w:color w:val="555555"/>
          <w:sz w:val="27"/>
          <w:szCs w:val="27"/>
        </w:rPr>
        <w:t xml:space="preserve">“Chad’s army is battle-hardened, tactically agile, and fighting to protect its own soil — advantages that raw numbers on a spreadsheet cannot capture.”
— TMN Security Analysis</w:t>
      </w:r>
    </w:p>
    <w:p>
      <w:pPr>
        <w:pBdr>
          <w:left w:val="single" w:color="1A3A5C" w:sz="18" w:space="10"/>
        </w:pBdr>
        <w:spacing w:after="140" w:before="380"/>
        <w:ind w:left="200"/>
      </w:pPr>
      <w:r>
        <w:rPr>
          <w:rFonts w:ascii="Arial" w:cs="Arial" w:eastAsia="Arial" w:hAnsi="Arial"/>
          <w:b/>
          <w:bCs/>
          <w:caps/>
          <w:color w:val="000000"/>
          <w:sz w:val="24"/>
          <w:szCs w:val="24"/>
        </w:rPr>
        <w:t xml:space="preserve">Defence Budget: Chad’s Surprising Edge</w:t>
      </w:r>
    </w:p>
    <w:p>
      <w:pPr>
        <w:spacing w:after="240" w:before="0" w:line="360"/>
        <w:jc w:val="both"/>
      </w:pPr>
      <w:r>
        <w:rPr>
          <w:rFonts w:ascii="Georgia" w:cs="Georgia" w:eastAsia="Georgia" w:hAnsi="Georgia"/>
          <w:color w:val="333333"/>
          <w:sz w:val="22"/>
          <w:szCs w:val="22"/>
        </w:rPr>
        <w:t xml:space="preserve">Counterintuitively, Chad currently outspends Sudan on defence in absolute terms — approximately $558 million annually against Sudan’s $375 million. This inversion reflects both Sudan’s macroeconomic collapse under the weight of civil war (which has devastated government revenue and diverted resources) and Chad’s sustained military investment under the Déby presidency. Chad’s ability to sustain military expenditure above its adversary’s is a significant, if underappreciated, strategic asset.</w:t>
      </w:r>
    </w:p>
    <w:p>
      <w:pPr>
        <w:pBdr>
          <w:left w:val="single" w:color="1A3A5C" w:sz="18" w:space="10"/>
        </w:pBdr>
        <w:spacing w:after="140" w:before="380"/>
        <w:ind w:left="200"/>
      </w:pPr>
      <w:r>
        <w:rPr>
          <w:rFonts w:ascii="Arial" w:cs="Arial" w:eastAsia="Arial" w:hAnsi="Arial"/>
          <w:b/>
          <w:bCs/>
          <w:caps/>
          <w:color w:val="000000"/>
          <w:sz w:val="24"/>
          <w:szCs w:val="24"/>
        </w:rPr>
        <w:t xml:space="preserve">Qualitative Factors and Strategic Alignment</w:t>
      </w:r>
    </w:p>
    <w:p>
      <w:pPr>
        <w:spacing w:after="240" w:before="0" w:line="360"/>
        <w:jc w:val="both"/>
      </w:pPr>
      <w:r>
        <w:rPr>
          <w:rFonts w:ascii="Georgia" w:cs="Georgia" w:eastAsia="Georgia" w:hAnsi="Georgia"/>
          <w:color w:val="333333"/>
          <w:sz w:val="22"/>
          <w:szCs w:val="22"/>
        </w:rPr>
        <w:t xml:space="preserve">The raw numerical comparison obscures several qualitative dimensions that are critical to any assessment of how a potential confrontation might unfold. Chad’s military has accumulated substantial counter-insurgency experience through operations against Boko Haram, in the Lake Chad Basin multinational force, and within the MNJTF framework. It is also deeply invested in the Alliance des États du Sahel (AES) regional security architecture. France, although increasingly distanced from Sahelian affairs, retains a military footprint in Chad through its Operation Barkhane successor arrangement and a bases agreement.</w:t>
      </w:r>
    </w:p>
    <w:p>
      <w:pPr>
        <w:spacing w:after="240" w:before="0" w:line="360"/>
        <w:jc w:val="both"/>
      </w:pPr>
      <w:r>
        <w:rPr>
          <w:rFonts w:ascii="Georgia" w:cs="Georgia" w:eastAsia="Georgia" w:hAnsi="Georgia"/>
          <w:color w:val="333333"/>
          <w:sz w:val="22"/>
          <w:szCs w:val="22"/>
        </w:rPr>
        <w:t xml:space="preserve">Sudan’s military, by contrast, is bifurcated and internally degraded. The SAF receives weapons and drone support from Iran, Russia, and Turkey, while the RSF has historically benefited from UAE facilitation through Chad and Libya. This external dependency on multiple, sometimes competing, sponsors creates a fractured command-and-supply chain that Chad’s more unified military does not face. The SAF has been able to press aerial advantages — drones in particular — against Chadian border towns precisely because neither side has formally declared war, and Chad’s retaliatory posture has so far been deterrent in nature rather than kinetic.</w:t>
      </w:r>
    </w:p>
    <w:p>
      <w:pPr>
        <w:pBdr>
          <w:left w:val="single" w:color="1A3A5C" w:sz="18" w:space="10"/>
        </w:pBdr>
        <w:spacing w:after="140" w:before="380"/>
        <w:ind w:left="200"/>
      </w:pPr>
      <w:r>
        <w:rPr>
          <w:rFonts w:ascii="Arial" w:cs="Arial" w:eastAsia="Arial" w:hAnsi="Arial"/>
          <w:b/>
          <w:bCs/>
          <w:caps/>
          <w:color w:val="000000"/>
          <w:sz w:val="24"/>
          <w:szCs w:val="24"/>
        </w:rPr>
        <w:t xml:space="preserve">Strategic Assessment: An Unequal but Dangerous Confrontation</w:t>
      </w:r>
    </w:p>
    <w:p>
      <w:pPr>
        <w:spacing w:after="240" w:before="0" w:line="360"/>
        <w:jc w:val="both"/>
      </w:pPr>
      <w:r>
        <w:rPr>
          <w:rFonts w:ascii="Georgia" w:cs="Georgia" w:eastAsia="Georgia" w:hAnsi="Georgia"/>
          <w:color w:val="333333"/>
          <w:sz w:val="22"/>
          <w:szCs w:val="22"/>
        </w:rPr>
        <w:t xml:space="preserve">A direct military confrontation between Chad and Sudan’s SAF would place Chad in a materially inferior position in terms of firepower projection and aerial capacity. However, such a scenario would expose the SAF to a two-front war it is in no position to sustain. The RSF’s involvement further scrambles the calculus: any Chadian military action in Sudanese territory could inadvertently benefit the RSF by drawing SAF forces westward, or risk entangling Chad in the internecine conflict it has sought to avoid.</w:t>
      </w:r>
    </w:p>
    <w:p>
      <w:pPr>
        <w:spacing w:after="240" w:before="0" w:line="360"/>
        <w:jc w:val="both"/>
      </w:pPr>
      <w:r>
        <w:rPr>
          <w:rFonts w:ascii="Georgia" w:cs="Georgia" w:eastAsia="Georgia" w:hAnsi="Georgia"/>
          <w:color w:val="333333"/>
          <w:sz w:val="22"/>
          <w:szCs w:val="22"/>
        </w:rPr>
        <w:t xml:space="preserve">The more immediate danger is not a declared inter-state war but a continued erosion of Chadian sovereignty through drone attrition, armed spillover, and intercommunal destabilisation — a slow-burn scenario in which the absence of a formal conflict makes international intervention and accountability mechanisms harder to invoke. Regional bodies including the African Union and the ECOWAS-aligned AES bloc have so far been unable to produce a viable ceasefire mechanism for Sudan. Until they do, Chad’s eastern flank will remain the war’s most dangerous external pressure point.</w:t>
      </w:r>
    </w:p>
    <w:p>
      <w:pPr>
        <w:spacing w:after="120" w:before="0"/>
      </w:pPr>
    </w:p>
    <w:p>
      <w:pPr>
        <w:spacing w:after="240" w:before="0" w:line="360"/>
        <w:jc w:val="both"/>
      </w:pPr>
      <w:r>
        <w:rPr>
          <w:rFonts w:ascii="Georgia" w:cs="Georgia" w:eastAsia="Georgia" w:hAnsi="Georgia"/>
          <w:i/>
          <w:iCs/>
          <w:color w:val="333333"/>
          <w:sz w:val="22"/>
          <w:szCs w:val="22"/>
        </w:rPr>
        <w:t xml:space="preserve">TMN will continue to monitor developments at the Chad-Sudan border and the broader trajectory of Sudan’s civil war.</w:t>
      </w:r>
    </w:p>
    <w:p>
      <w:pPr>
        <w:pBdr>
          <w:top w:val="single" w:color="DDDDDD" w:sz="4" w:space="8"/>
        </w:pBdr>
        <w:spacing w:after="80" w:before="480"/>
        <w:jc w:val="center"/>
      </w:pPr>
      <w:r>
        <w:rPr>
          <w:rFonts w:ascii="Arial" w:cs="Arial" w:eastAsia="Arial" w:hAnsi="Arial"/>
          <w:color w:val="888888"/>
          <w:sz w:val="16"/>
          <w:szCs w:val="16"/>
        </w:rPr>
        <w:t xml:space="preserve">Thought Media Network  —  All rights reserved © 2026  |  www.thoughtmedianetwork.com</w:t>
      </w:r>
    </w:p>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color w:val="000000"/>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2026-04-03T03:21:18.380Z</dcterms:created>
  <dcterms:modified xsi:type="dcterms:W3CDTF">2026-04-03T03:21:18.381Z</dcterms:modified>
</cp:coreProperties>
</file>

<file path=docProps/custom.xml><?xml version="1.0" encoding="utf-8"?>
<Properties xmlns="http://schemas.openxmlformats.org/officeDocument/2006/custom-properties" xmlns:vt="http://schemas.openxmlformats.org/officeDocument/2006/docPropsVTypes"/>
</file>